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7AE35">
      <w:pPr>
        <w:overflowPunct w:val="0"/>
        <w:topLinePunct/>
        <w:adjustRightInd w:val="0"/>
        <w:spacing w:line="600" w:lineRule="exact"/>
        <w:rPr>
          <w:rFonts w:hint="default" w:ascii="Times New Roman" w:hAnsi="Times New Roman" w:eastAsia="方正小标宋简体" w:cs="Times New Roman"/>
          <w:color w:val="000000"/>
          <w:sz w:val="40"/>
          <w:szCs w:val="40"/>
          <w:lang w:bidi="ar"/>
        </w:rPr>
      </w:pPr>
      <w:bookmarkStart w:id="0" w:name="_Toc219380075"/>
      <w:bookmarkStart w:id="1" w:name="_Toc219380000"/>
      <w:bookmarkStart w:id="2" w:name="_Toc19486"/>
      <w:bookmarkStart w:id="3" w:name="_Toc20004"/>
      <w:bookmarkStart w:id="4" w:name="_Toc13887"/>
      <w:bookmarkStart w:id="5" w:name="_Toc219379770"/>
      <w:bookmarkStart w:id="6" w:name="_Toc24975"/>
      <w:bookmarkStart w:id="7" w:name="_Toc219016468"/>
    </w:p>
    <w:p w14:paraId="11763FDE">
      <w:pPr>
        <w:overflowPunct w:val="0"/>
        <w:topLinePunct/>
        <w:adjustRightInd w:val="0"/>
        <w:spacing w:line="600" w:lineRule="exact"/>
        <w:rPr>
          <w:rFonts w:hint="default" w:ascii="Times New Roman" w:hAnsi="Times New Roman" w:eastAsia="方正小标宋简体" w:cs="Times New Roman"/>
          <w:color w:val="000000"/>
          <w:sz w:val="40"/>
          <w:szCs w:val="40"/>
          <w:lang w:bidi="ar"/>
        </w:rPr>
      </w:pPr>
    </w:p>
    <w:p w14:paraId="23C3DEE3">
      <w:pPr>
        <w:overflowPunct w:val="0"/>
        <w:topLinePunct/>
        <w:adjustRightInd w:val="0"/>
        <w:snapToGrid w:val="0"/>
        <w:spacing w:line="600" w:lineRule="exact"/>
        <w:jc w:val="center"/>
        <w:rPr>
          <w:rFonts w:hint="default" w:ascii="Times New Roman" w:hAnsi="Times New Roman" w:eastAsia="方正小标宋简体" w:cs="Times New Roman"/>
          <w:color w:val="000000"/>
          <w:sz w:val="48"/>
          <w:szCs w:val="48"/>
          <w:lang w:bidi="ar"/>
        </w:rPr>
      </w:pPr>
      <w:r>
        <w:rPr>
          <w:rFonts w:hint="default" w:ascii="Times New Roman" w:hAnsi="Times New Roman" w:eastAsia="方正小标宋简体" w:cs="Times New Roman"/>
          <w:color w:val="000000"/>
          <w:sz w:val="48"/>
          <w:szCs w:val="48"/>
          <w:lang w:bidi="ar"/>
        </w:rPr>
        <w:t>巨鹿县国民经济和社会发展</w:t>
      </w:r>
    </w:p>
    <w:p w14:paraId="13C9A16E">
      <w:pPr>
        <w:overflowPunct w:val="0"/>
        <w:topLinePunct/>
        <w:adjustRightInd w:val="0"/>
        <w:snapToGrid w:val="0"/>
        <w:spacing w:line="600" w:lineRule="exact"/>
        <w:jc w:val="center"/>
        <w:rPr>
          <w:rFonts w:hint="default" w:ascii="Times New Roman" w:hAnsi="Times New Roman" w:eastAsia="方正小标宋简体" w:cs="Times New Roman"/>
          <w:color w:val="000000"/>
          <w:sz w:val="48"/>
          <w:szCs w:val="48"/>
          <w:lang w:bidi="ar"/>
        </w:rPr>
      </w:pPr>
      <w:r>
        <w:rPr>
          <w:rFonts w:hint="default" w:ascii="Times New Roman" w:hAnsi="Times New Roman" w:eastAsia="方正小标宋简体" w:cs="Times New Roman"/>
          <w:color w:val="000000"/>
          <w:sz w:val="48"/>
          <w:szCs w:val="48"/>
          <w:lang w:bidi="ar"/>
        </w:rPr>
        <w:t>第十五个五年规划纲要</w:t>
      </w:r>
    </w:p>
    <w:p w14:paraId="0240F808">
      <w:pPr>
        <w:overflowPunct w:val="0"/>
        <w:topLinePunct/>
        <w:adjustRightInd w:val="0"/>
        <w:snapToGrid w:val="0"/>
        <w:spacing w:line="600" w:lineRule="exact"/>
        <w:jc w:val="center"/>
        <w:rPr>
          <w:rFonts w:hint="default" w:ascii="Times New Roman" w:hAnsi="Times New Roman" w:eastAsia="方正小标宋简体" w:cs="Times New Roman"/>
          <w:color w:val="000000"/>
          <w:sz w:val="48"/>
          <w:szCs w:val="48"/>
          <w:lang w:bidi="ar"/>
        </w:rPr>
      </w:pPr>
    </w:p>
    <w:p w14:paraId="6CD800F2">
      <w:pPr>
        <w:pStyle w:val="17"/>
        <w:spacing w:after="0" w:line="600" w:lineRule="exact"/>
        <w:ind w:left="0" w:leftChars="0" w:firstLine="0" w:firstLineChars="0"/>
        <w:jc w:val="center"/>
        <w:rPr>
          <w:rFonts w:hint="default" w:ascii="Times New Roman" w:hAnsi="Times New Roman" w:eastAsia="楷体_GB2312" w:cs="Times New Roman"/>
          <w:color w:val="000000"/>
          <w:sz w:val="28"/>
          <w:szCs w:val="28"/>
          <w:lang w:val="en-US" w:eastAsia="zh-CN" w:bidi="ar"/>
        </w:rPr>
      </w:pPr>
    </w:p>
    <w:p w14:paraId="5C46F0CE">
      <w:pPr>
        <w:rPr>
          <w:rFonts w:hint="default" w:ascii="Times New Roman" w:hAnsi="Times New Roman" w:eastAsia="楷体_GB2312" w:cs="Times New Roman"/>
          <w:color w:val="000000"/>
          <w:sz w:val="28"/>
          <w:szCs w:val="28"/>
          <w:lang w:val="en-US" w:eastAsia="zh-CN" w:bidi="ar"/>
        </w:rPr>
      </w:pPr>
    </w:p>
    <w:p w14:paraId="3DAAC34C">
      <w:pPr>
        <w:rPr>
          <w:rFonts w:hint="default" w:ascii="Times New Roman" w:hAnsi="Times New Roman" w:eastAsia="楷体_GB2312" w:cs="Times New Roman"/>
          <w:color w:val="000000"/>
          <w:sz w:val="28"/>
          <w:szCs w:val="28"/>
          <w:lang w:val="en-US" w:eastAsia="zh-CN" w:bidi="ar"/>
        </w:rPr>
      </w:pPr>
    </w:p>
    <w:p w14:paraId="770320BB">
      <w:pPr>
        <w:pStyle w:val="10"/>
        <w:spacing w:after="0" w:line="600" w:lineRule="exact"/>
        <w:ind w:left="420"/>
        <w:rPr>
          <w:rFonts w:hint="default" w:ascii="Times New Roman" w:hAnsi="Times New Roman" w:eastAsia="楷体_GB2312" w:cs="Times New Roman"/>
          <w:color w:val="000000"/>
          <w:sz w:val="32"/>
          <w:szCs w:val="32"/>
          <w:lang w:bidi="ar"/>
        </w:rPr>
      </w:pPr>
    </w:p>
    <w:p w14:paraId="7007B195">
      <w:pPr>
        <w:pStyle w:val="10"/>
        <w:spacing w:after="0" w:line="600" w:lineRule="exact"/>
        <w:ind w:left="420"/>
        <w:rPr>
          <w:rFonts w:hint="default" w:ascii="Times New Roman" w:hAnsi="Times New Roman" w:eastAsia="楷体_GB2312" w:cs="Times New Roman"/>
          <w:color w:val="000000"/>
          <w:sz w:val="32"/>
          <w:szCs w:val="32"/>
          <w:lang w:bidi="ar"/>
        </w:rPr>
      </w:pPr>
    </w:p>
    <w:p w14:paraId="5F5DFA68">
      <w:pPr>
        <w:pStyle w:val="10"/>
        <w:spacing w:after="0" w:line="600" w:lineRule="exact"/>
        <w:ind w:left="420"/>
        <w:rPr>
          <w:rFonts w:hint="default" w:ascii="Times New Roman" w:hAnsi="Times New Roman" w:eastAsia="楷体_GB2312" w:cs="Times New Roman"/>
          <w:color w:val="000000"/>
          <w:sz w:val="32"/>
          <w:szCs w:val="32"/>
          <w:lang w:bidi="ar"/>
        </w:rPr>
      </w:pPr>
    </w:p>
    <w:p w14:paraId="1AD18DD1">
      <w:pPr>
        <w:pStyle w:val="10"/>
        <w:spacing w:after="0" w:line="600" w:lineRule="exact"/>
        <w:ind w:left="420"/>
        <w:rPr>
          <w:rFonts w:hint="default" w:ascii="Times New Roman" w:hAnsi="Times New Roman" w:eastAsia="楷体_GB2312" w:cs="Times New Roman"/>
          <w:color w:val="000000"/>
          <w:sz w:val="32"/>
          <w:szCs w:val="32"/>
          <w:lang w:bidi="ar"/>
        </w:rPr>
      </w:pPr>
    </w:p>
    <w:p w14:paraId="3B4696F5">
      <w:pPr>
        <w:pStyle w:val="10"/>
        <w:spacing w:after="0" w:line="600" w:lineRule="exact"/>
        <w:ind w:left="420"/>
        <w:rPr>
          <w:rFonts w:hint="default" w:ascii="Times New Roman" w:hAnsi="Times New Roman" w:eastAsia="楷体_GB2312" w:cs="Times New Roman"/>
          <w:color w:val="000000"/>
          <w:sz w:val="32"/>
          <w:szCs w:val="32"/>
          <w:lang w:bidi="ar"/>
        </w:rPr>
      </w:pPr>
    </w:p>
    <w:p w14:paraId="6D54D056">
      <w:pPr>
        <w:pStyle w:val="10"/>
        <w:spacing w:after="0" w:line="600" w:lineRule="exact"/>
        <w:ind w:left="420"/>
        <w:rPr>
          <w:rFonts w:hint="default" w:ascii="Times New Roman" w:hAnsi="Times New Roman" w:eastAsia="楷体_GB2312" w:cs="Times New Roman"/>
          <w:color w:val="000000"/>
          <w:sz w:val="32"/>
          <w:szCs w:val="32"/>
          <w:lang w:bidi="ar"/>
        </w:rPr>
      </w:pPr>
    </w:p>
    <w:p w14:paraId="055F9A1D">
      <w:pPr>
        <w:pStyle w:val="10"/>
        <w:tabs>
          <w:tab w:val="left" w:pos="6366"/>
        </w:tabs>
        <w:spacing w:after="0" w:line="600" w:lineRule="exact"/>
        <w:ind w:left="420"/>
        <w:rPr>
          <w:rFonts w:hint="default" w:ascii="Times New Roman" w:hAnsi="Times New Roman" w:eastAsia="楷体_GB2312" w:cs="Times New Roman"/>
          <w:color w:val="000000"/>
          <w:sz w:val="32"/>
          <w:szCs w:val="32"/>
          <w:lang w:bidi="ar"/>
        </w:rPr>
      </w:pPr>
    </w:p>
    <w:p w14:paraId="245F8131">
      <w:pPr>
        <w:pStyle w:val="10"/>
        <w:tabs>
          <w:tab w:val="left" w:pos="6366"/>
        </w:tabs>
        <w:spacing w:after="0" w:line="600" w:lineRule="exact"/>
        <w:ind w:left="420"/>
        <w:rPr>
          <w:rFonts w:hint="default" w:ascii="Times New Roman" w:hAnsi="Times New Roman" w:eastAsia="楷体_GB2312" w:cs="Times New Roman"/>
          <w:color w:val="000000"/>
          <w:sz w:val="32"/>
          <w:szCs w:val="32"/>
          <w:lang w:bidi="ar"/>
        </w:rPr>
      </w:pPr>
    </w:p>
    <w:p w14:paraId="009AADA6">
      <w:pPr>
        <w:pStyle w:val="10"/>
        <w:tabs>
          <w:tab w:val="left" w:pos="6366"/>
        </w:tabs>
        <w:spacing w:after="0" w:line="600" w:lineRule="exact"/>
        <w:ind w:left="420"/>
        <w:rPr>
          <w:rFonts w:hint="default" w:ascii="Times New Roman" w:hAnsi="Times New Roman" w:eastAsia="楷体_GB2312" w:cs="Times New Roman"/>
          <w:color w:val="000000"/>
          <w:sz w:val="32"/>
          <w:szCs w:val="32"/>
          <w:lang w:bidi="ar"/>
        </w:rPr>
      </w:pPr>
    </w:p>
    <w:p w14:paraId="62FD5FEA">
      <w:pPr>
        <w:pStyle w:val="10"/>
        <w:tabs>
          <w:tab w:val="left" w:pos="6366"/>
        </w:tabs>
        <w:spacing w:after="0" w:line="600" w:lineRule="exact"/>
        <w:ind w:left="420"/>
        <w:rPr>
          <w:rFonts w:hint="default" w:ascii="Times New Roman" w:hAnsi="Times New Roman" w:eastAsia="楷体_GB2312" w:cs="Times New Roman"/>
          <w:color w:val="000000"/>
          <w:sz w:val="32"/>
          <w:szCs w:val="32"/>
          <w:lang w:bidi="ar"/>
        </w:rPr>
      </w:pPr>
      <w:r>
        <w:rPr>
          <w:rFonts w:hint="default" w:ascii="Times New Roman" w:hAnsi="Times New Roman" w:eastAsia="楷体_GB2312" w:cs="Times New Roman"/>
          <w:color w:val="000000"/>
          <w:sz w:val="32"/>
          <w:szCs w:val="32"/>
          <w:lang w:bidi="ar"/>
        </w:rPr>
        <w:tab/>
      </w:r>
    </w:p>
    <w:p w14:paraId="0E46E43B">
      <w:pPr>
        <w:pStyle w:val="10"/>
        <w:spacing w:after="0" w:line="600" w:lineRule="exact"/>
        <w:ind w:left="420"/>
        <w:jc w:val="center"/>
        <w:rPr>
          <w:rFonts w:hint="default" w:ascii="Times New Roman" w:hAnsi="Times New Roman" w:eastAsia="楷体_GB2312" w:cs="Times New Roman"/>
          <w:color w:val="000000"/>
          <w:sz w:val="32"/>
          <w:szCs w:val="32"/>
          <w:lang w:bidi="ar"/>
        </w:rPr>
      </w:pPr>
      <w:r>
        <w:rPr>
          <w:rFonts w:hint="default" w:ascii="Times New Roman" w:hAnsi="Times New Roman" w:eastAsia="楷体_GB2312" w:cs="Times New Roman"/>
          <w:color w:val="000000"/>
          <w:sz w:val="36"/>
          <w:szCs w:val="36"/>
          <w:lang w:bidi="ar"/>
        </w:rPr>
        <w:t>巨鹿县发展和改革局</w:t>
      </w:r>
    </w:p>
    <w:p w14:paraId="648C3996">
      <w:pPr>
        <w:pStyle w:val="10"/>
        <w:spacing w:after="0" w:line="600" w:lineRule="exact"/>
        <w:ind w:left="420"/>
        <w:jc w:val="center"/>
        <w:rPr>
          <w:rFonts w:hint="default" w:ascii="Times New Roman" w:hAnsi="Times New Roman" w:eastAsia="楷体_GB2312" w:cs="Times New Roman"/>
          <w:color w:val="000000"/>
          <w:sz w:val="36"/>
          <w:szCs w:val="36"/>
          <w:lang w:bidi="ar"/>
        </w:rPr>
      </w:pPr>
      <w:r>
        <w:rPr>
          <w:rFonts w:hint="default" w:ascii="Times New Roman" w:hAnsi="Times New Roman" w:eastAsia="楷体_GB2312" w:cs="Times New Roman"/>
          <w:color w:val="000000"/>
          <w:sz w:val="36"/>
          <w:szCs w:val="36"/>
          <w:lang w:bidi="ar"/>
        </w:rPr>
        <w:t>2026年1月</w:t>
      </w:r>
    </w:p>
    <w:p w14:paraId="7B7E804A">
      <w:pPr>
        <w:pStyle w:val="14"/>
        <w:tabs>
          <w:tab w:val="right" w:leader="dot" w:pos="8834"/>
        </w:tabs>
        <w:spacing w:line="600" w:lineRule="exact"/>
        <w:jc w:val="center"/>
        <w:rPr>
          <w:rFonts w:hint="default" w:ascii="Times New Roman" w:hAnsi="Times New Roman" w:eastAsia="黑体" w:cs="Times New Roman"/>
          <w:b/>
          <w:bCs/>
          <w:color w:val="000000"/>
          <w:sz w:val="36"/>
          <w:szCs w:val="36"/>
        </w:rPr>
        <w:sectPr>
          <w:headerReference r:id="rId3" w:type="default"/>
          <w:footerReference r:id="rId4" w:type="even"/>
          <w:pgSz w:w="11906" w:h="16838"/>
          <w:pgMar w:top="1871" w:right="1531" w:bottom="1701" w:left="1531" w:header="851" w:footer="1361" w:gutter="0"/>
          <w:pgNumType w:fmt="numberInDash" w:start="1"/>
          <w:cols w:space="720" w:num="1"/>
          <w:rtlGutter w:val="0"/>
          <w:docGrid w:type="lines" w:linePitch="312" w:charSpace="0"/>
        </w:sectPr>
      </w:pPr>
    </w:p>
    <w:p w14:paraId="58F917A1">
      <w:pPr>
        <w:spacing w:line="600" w:lineRule="exact"/>
        <w:jc w:val="center"/>
        <w:rPr>
          <w:rFonts w:hint="default" w:ascii="Times New Roman" w:hAnsi="Times New Roman" w:cs="Times New Roman"/>
          <w:color w:val="000000"/>
          <w:sz w:val="28"/>
          <w:szCs w:val="28"/>
        </w:rPr>
      </w:pPr>
      <w:bookmarkStart w:id="8" w:name="_Toc31871"/>
      <w:r>
        <w:rPr>
          <w:rFonts w:hint="eastAsia" w:ascii="黑体" w:hAnsi="黑体" w:eastAsia="黑体" w:cs="黑体"/>
          <w:b w:val="0"/>
          <w:bCs w:val="0"/>
          <w:color w:val="000000"/>
          <w:sz w:val="36"/>
          <w:szCs w:val="36"/>
        </w:rPr>
        <w:t>目</w:t>
      </w:r>
      <w:r>
        <w:rPr>
          <w:rFonts w:hint="eastAsia" w:ascii="黑体" w:hAnsi="黑体" w:eastAsia="黑体" w:cs="黑体"/>
          <w:b w:val="0"/>
          <w:bCs w:val="0"/>
          <w:color w:val="000000"/>
          <w:sz w:val="36"/>
          <w:szCs w:val="36"/>
          <w:lang w:val="en-US" w:eastAsia="zh-CN"/>
        </w:rPr>
        <w:t xml:space="preserve">  </w:t>
      </w:r>
      <w:r>
        <w:rPr>
          <w:rFonts w:hint="eastAsia" w:ascii="黑体" w:hAnsi="黑体" w:eastAsia="黑体" w:cs="黑体"/>
          <w:b w:val="0"/>
          <w:bCs w:val="0"/>
          <w:color w:val="000000"/>
          <w:sz w:val="36"/>
          <w:szCs w:val="36"/>
        </w:rPr>
        <w:t>录</w:t>
      </w:r>
      <w:bookmarkEnd w:id="8"/>
      <w:r>
        <w:rPr>
          <w:rFonts w:hint="default" w:ascii="Times New Roman" w:hAnsi="Times New Roman" w:cs="Times New Roman"/>
          <w:color w:val="000000"/>
          <w:sz w:val="28"/>
          <w:szCs w:val="28"/>
        </w:rPr>
        <w:fldChar w:fldCharType="begin"/>
      </w:r>
      <w:r>
        <w:rPr>
          <w:rFonts w:hint="default" w:ascii="Times New Roman" w:hAnsi="Times New Roman" w:cs="Times New Roman"/>
          <w:color w:val="000000"/>
          <w:sz w:val="28"/>
          <w:szCs w:val="28"/>
        </w:rPr>
        <w:instrText xml:space="preserve">TOC \o "1-2" \h \u </w:instrText>
      </w:r>
      <w:r>
        <w:rPr>
          <w:rFonts w:hint="default" w:ascii="Times New Roman" w:hAnsi="Times New Roman" w:cs="Times New Roman"/>
          <w:color w:val="000000"/>
          <w:sz w:val="28"/>
          <w:szCs w:val="28"/>
        </w:rPr>
        <w:fldChar w:fldCharType="separate"/>
      </w:r>
    </w:p>
    <w:p w14:paraId="3B76C76B">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_Toc1581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第一章 砥砺奋进、真抓实干，经济社会高质量发展迈出坚实步伐</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_Toc1581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- 1 -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0F8989A2">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_Toc15036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xml:space="preserve">第一节 </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十四五</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取得成效</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_Toc15036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- 1 -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1729B18E">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_Toc32537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xml:space="preserve">第二节 </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十五五</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时期巨鹿发展面临的新机遇新挑战</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_Toc32537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- 6 -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1D2BACEE">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_Toc21974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xml:space="preserve">第二章 </w:t>
      </w:r>
      <w:r>
        <w:rPr>
          <w:rStyle w:val="22"/>
          <w:rFonts w:hint="eastAsia" w:ascii="Times New Roman" w:hAnsi="Times New Roman" w:eastAsia="黑体" w:cs="Times New Roman"/>
          <w:b/>
          <w:bCs/>
          <w:color w:val="000000"/>
          <w:sz w:val="28"/>
          <w:szCs w:val="28"/>
          <w:lang w:eastAsia="zh-CN"/>
        </w:rPr>
        <w:t>“</w:t>
      </w:r>
      <w:r>
        <w:rPr>
          <w:rStyle w:val="22"/>
          <w:rFonts w:hint="default" w:ascii="Times New Roman" w:hAnsi="Times New Roman" w:eastAsia="黑体" w:cs="Times New Roman"/>
          <w:b/>
          <w:bCs/>
          <w:color w:val="000000"/>
          <w:sz w:val="28"/>
          <w:szCs w:val="28"/>
        </w:rPr>
        <w:t>十五五</w:t>
      </w:r>
      <w:r>
        <w:rPr>
          <w:rStyle w:val="22"/>
          <w:rFonts w:hint="eastAsia" w:ascii="Times New Roman" w:hAnsi="Times New Roman" w:eastAsia="黑体" w:cs="Times New Roman"/>
          <w:b/>
          <w:bCs/>
          <w:color w:val="000000"/>
          <w:sz w:val="28"/>
          <w:szCs w:val="28"/>
          <w:lang w:eastAsia="zh-CN"/>
        </w:rPr>
        <w:t>”</w:t>
      </w:r>
      <w:r>
        <w:rPr>
          <w:rStyle w:val="22"/>
          <w:rFonts w:hint="default" w:ascii="Times New Roman" w:hAnsi="Times New Roman" w:eastAsia="黑体" w:cs="Times New Roman"/>
          <w:b/>
          <w:bCs/>
          <w:color w:val="000000"/>
          <w:sz w:val="28"/>
          <w:szCs w:val="28"/>
        </w:rPr>
        <w:t>时期经济社会发展的指导思想和主要目标</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_Toc21974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- 9 -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45084F6E">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_Toc18517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xml:space="preserve">第一节 </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十五五</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时期全县经济社会发展的指导思想</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_Toc18517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A246497">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_Toc9762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xml:space="preserve">第二节 </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十五五</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时期经济社会发展必须遵循的原则</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_Toc9762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D90A406">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_Toc24718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发展定位与总体目标</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_Toc24718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- 10 -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0A3F09A2">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_Toc6845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xml:space="preserve">第四节 </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十五五</w:t>
      </w:r>
      <w:r>
        <w:rPr>
          <w:rStyle w:val="22"/>
          <w:rFonts w:hint="eastAsia" w:ascii="Times New Roman" w:hAnsi="Times New Roman" w:eastAsia="楷体" w:cs="Times New Roman"/>
          <w:b/>
          <w:bCs/>
          <w:color w:val="000000"/>
          <w:sz w:val="28"/>
          <w:szCs w:val="28"/>
          <w:lang w:eastAsia="zh-CN"/>
        </w:rPr>
        <w:t>”</w:t>
      </w:r>
      <w:r>
        <w:rPr>
          <w:rStyle w:val="22"/>
          <w:rFonts w:hint="default" w:ascii="Times New Roman" w:hAnsi="Times New Roman" w:eastAsia="楷体" w:cs="Times New Roman"/>
          <w:b/>
          <w:bCs/>
          <w:color w:val="000000"/>
          <w:sz w:val="28"/>
          <w:szCs w:val="28"/>
        </w:rPr>
        <w:t>经济社会发展的具体目标</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_Toc6845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- 13 -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279423E">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_Toc16648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第三章 大力发展特色优势产业，加快建设现代化产业体系</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_Toc16648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- 14 -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78A4A121">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_Toc23567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做大做强特色产业集群</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_Toc23567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- 15 -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0D93B45D">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_Toc31733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培育发展新兴产业和未来产业</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_Toc31733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- 22 -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90AFCDB">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_Toc14658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加快传统产业提档升级</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_Toc14658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- 24 -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288649FC">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_Toc6800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第四节  促进服务业优质高效发展</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_Toc6800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- 26 -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157502CA">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_Toc6776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第四章 加快创新型巨鹿建设，以科技创新引领新质生产力发展</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_Toc6776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- 31 -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16162571">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_Toc8445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打造高水平创新平台</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_Toc8445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- 31 -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35C8D815">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_Toc26018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强化企业创新主体地位</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_Toc26018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- 32 -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3AEAA138">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_Toc3649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构筑人才创新高地</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_Toc3649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- 32 -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4EFC28F7">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_Toc29484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第四节 构建更有活力的创新生态</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_Toc29484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- 33 -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166CBDCC">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_Toc8390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第五章 持续扩大有效需求，积极融入全国统一大市场建设</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_Toc8390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- 35 -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7B81F37E">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_Toc22738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大力提振消费</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_Toc22738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- 35 -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C264DCC">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_Toc11345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扩大有效投资</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_Toc11345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- 37 -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553BC460">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_Toc17501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推动基础设施提升</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_Toc17501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- 39 -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6BC32D35">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_Toc29777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第六章 深化经济领域改革，打造优质营商环境</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_Toc29777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- 43 -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6B8C5CBE">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_Toc11550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深化重点领域改革</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_Toc11550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- 43 -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43FF91FB">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_Toc21994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深化政务服务改革</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_Toc21994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- 45 -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E5E597C">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_Toc6748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深化投融资体制改革</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_Toc6748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- 46 -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04C666FD">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_Toc10037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第七章 推进新型城镇化，加快建设魅力古郡</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_Toc10037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- 49 -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4C51EA02">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_Toc28176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塑造北部新区样板</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_Toc28176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- 49 -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5631F4D5">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_Toc7550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推进县城更新提质</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_Toc7550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- 50 -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3D54BD63">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_Toc24228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打造城市治理标杆</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_Toc24228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- 52 -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42D8E3E6">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_Toc23187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第八章 推进乡村全面振兴，加快建设宜居宜业和美乡村</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_Toc23187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- 55 -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67A1A968">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_Toc24467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增强粮食等重要农产品供给保障能力</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_Toc24467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- 55 -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53B1C7FF">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_Toc347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持续巩固拓展脱贫攻坚成果</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_Toc347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- 56 -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2133437C">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_Toc30746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加快壮大特色产业</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_Toc30746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- 57 -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4D92EF23">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_Toc29771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第四节 高水平推进和美乡村建设</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_Toc29771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- 60 -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0D3899E3">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_Toc16472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第五节 持续深化农村改革</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_Toc16472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- 62 -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3F966958">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_Toc13439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第九章 推进降碳减污扩绿增长，全面改善生态环境质量</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_Toc13439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- 64 -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4C2D5BBB">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_Toc16531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推进污染防治攻坚</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_Toc16531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- 64 -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29334165">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_Toc20080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深化生态保护修复</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_Toc20080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- 66 -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5ED4AEC0">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_Toc2937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推进绿色低碳转型</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_Toc2937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- 67 -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6ACA1B58">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_Toc27053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第十章 推进文化兴县，激发文化创新创造活力</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_Toc27053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- 69 -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4A401F7D">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_Toc29591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弘扬和践行社会主义核心价值观</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_Toc29591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- 69 -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5DC96A5F">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_Toc31482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推进农文旅体健深度融合发展</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_Toc31482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- 70 -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39171564">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_Toc32093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加快文化事业和文化产业发展</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_Toc21696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- 72 -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0544CB15">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_Toc21696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第十一章 坚持以人民为中心的发展思想，扎实推进全体人民共同富裕</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_Toc31333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- 75 -</w:t>
      </w:r>
      <w:r>
        <w:rPr>
          <w:rStyle w:val="22"/>
          <w:rFonts w:hint="default" w:ascii="Times New Roman" w:hAnsi="Times New Roman" w:eastAsia="楷体" w:cs="Times New Roman"/>
          <w:b/>
          <w:bCs/>
          <w:color w:val="000000"/>
          <w:sz w:val="28"/>
          <w:szCs w:val="28"/>
        </w:rPr>
        <w:fldChar w:fldCharType="end"/>
      </w:r>
    </w:p>
    <w:p w14:paraId="1F3A1C34">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_Toc31333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持续用力稳就业增收入</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_Toc31333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- 75 -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657D7A77">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_Toc28603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办好人民满意的教育</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_Toc28603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- 77 -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40D7F37C">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_Toc24539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推进健康巨鹿建设</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_Toc24539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- 82 -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70357E4">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_Toc22080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第四节 促进人口高质量发展</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_Toc22080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- 87 -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2CA70BF7">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_Toc14646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第五节 健全多层次社会保障体系</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_Toc14646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- 90 -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3F57EB30">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_Toc11925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第十二章 推动平安巨鹿建设，坚决守牢安全发展底线</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_Toc11925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- 92 -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0D3C00A5">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_Toc24994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推进国家安全体系和能力现代化</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_Toc24994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- 92 -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019EEA19">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_Toc1331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加强重点领域安全能力建设</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_Toc1331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- 92 -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071BD6F9">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_Toc16838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有效防范化解重点领域风险</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_Toc16838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- 93 -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242F25AC">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_Toc15849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第四节 完善现代化应急管理体系</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_Toc15849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- 93 -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BC82C3C">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_Toc31960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第五节 完善社会治理体系</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_Toc31960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- 94 -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49FA3715">
      <w:pPr>
        <w:pStyle w:val="14"/>
        <w:tabs>
          <w:tab w:val="right" w:leader="dot" w:pos="8834"/>
        </w:tabs>
        <w:spacing w:line="600" w:lineRule="exact"/>
        <w:rPr>
          <w:rStyle w:val="22"/>
          <w:rFonts w:hint="default" w:ascii="Times New Roman" w:hAnsi="Times New Roman" w:eastAsia="黑体" w:cs="Times New Roman"/>
          <w:b/>
          <w:bCs/>
          <w:color w:val="000000"/>
          <w:sz w:val="28"/>
          <w:szCs w:val="28"/>
        </w:rPr>
      </w:pP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HYPERLINK \l _Toc2869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第十三章 扎实营造风清气正的政治生态，凝心聚力推动</w:t>
      </w:r>
      <w:r>
        <w:rPr>
          <w:rStyle w:val="22"/>
          <w:rFonts w:hint="eastAsia" w:ascii="Times New Roman" w:hAnsi="Times New Roman" w:eastAsia="黑体" w:cs="Times New Roman"/>
          <w:b/>
          <w:bCs/>
          <w:color w:val="000000"/>
          <w:sz w:val="28"/>
          <w:szCs w:val="28"/>
          <w:lang w:eastAsia="zh-CN"/>
        </w:rPr>
        <w:t>“</w:t>
      </w:r>
      <w:r>
        <w:rPr>
          <w:rStyle w:val="22"/>
          <w:rFonts w:hint="default" w:ascii="Times New Roman" w:hAnsi="Times New Roman" w:eastAsia="黑体" w:cs="Times New Roman"/>
          <w:b/>
          <w:bCs/>
          <w:color w:val="000000"/>
          <w:sz w:val="28"/>
          <w:szCs w:val="28"/>
        </w:rPr>
        <w:t>十五五</w:t>
      </w:r>
      <w:r>
        <w:rPr>
          <w:rStyle w:val="22"/>
          <w:rFonts w:hint="eastAsia" w:ascii="Times New Roman" w:hAnsi="Times New Roman" w:eastAsia="黑体" w:cs="Times New Roman"/>
          <w:b/>
          <w:bCs/>
          <w:color w:val="000000"/>
          <w:sz w:val="28"/>
          <w:szCs w:val="28"/>
          <w:lang w:eastAsia="zh-CN"/>
        </w:rPr>
        <w:t>”</w:t>
      </w:r>
      <w:r>
        <w:rPr>
          <w:rStyle w:val="22"/>
          <w:rFonts w:hint="default" w:ascii="Times New Roman" w:hAnsi="Times New Roman" w:eastAsia="黑体" w:cs="Times New Roman"/>
          <w:b/>
          <w:bCs/>
          <w:color w:val="000000"/>
          <w:sz w:val="28"/>
          <w:szCs w:val="28"/>
        </w:rPr>
        <w:t>规划落地见效</w:t>
      </w:r>
      <w:r>
        <w:rPr>
          <w:rStyle w:val="22"/>
          <w:rFonts w:hint="default" w:ascii="Times New Roman" w:hAnsi="Times New Roman" w:eastAsia="黑体" w:cs="Times New Roman"/>
          <w:b/>
          <w:bCs/>
          <w:color w:val="000000"/>
          <w:sz w:val="28"/>
          <w:szCs w:val="28"/>
        </w:rPr>
        <w:tab/>
      </w:r>
      <w:r>
        <w:rPr>
          <w:rStyle w:val="22"/>
          <w:rFonts w:hint="default" w:ascii="Times New Roman" w:hAnsi="Times New Roman" w:eastAsia="黑体" w:cs="Times New Roman"/>
          <w:b/>
          <w:bCs/>
          <w:color w:val="000000"/>
          <w:sz w:val="28"/>
          <w:szCs w:val="28"/>
        </w:rPr>
        <w:fldChar w:fldCharType="begin"/>
      </w:r>
      <w:r>
        <w:rPr>
          <w:rStyle w:val="22"/>
          <w:rFonts w:hint="default" w:ascii="Times New Roman" w:hAnsi="Times New Roman" w:eastAsia="黑体" w:cs="Times New Roman"/>
          <w:b/>
          <w:bCs/>
          <w:color w:val="000000"/>
          <w:sz w:val="28"/>
          <w:szCs w:val="28"/>
        </w:rPr>
        <w:instrText xml:space="preserve"> PAGEREF _Toc2869 \h </w:instrText>
      </w:r>
      <w:r>
        <w:rPr>
          <w:rStyle w:val="22"/>
          <w:rFonts w:hint="default" w:ascii="Times New Roman" w:hAnsi="Times New Roman" w:eastAsia="黑体" w:cs="Times New Roman"/>
          <w:b/>
          <w:bCs/>
          <w:color w:val="000000"/>
          <w:sz w:val="28"/>
          <w:szCs w:val="28"/>
        </w:rPr>
        <w:fldChar w:fldCharType="separate"/>
      </w:r>
      <w:r>
        <w:rPr>
          <w:rStyle w:val="22"/>
          <w:rFonts w:hint="default" w:ascii="Times New Roman" w:hAnsi="Times New Roman" w:eastAsia="黑体" w:cs="Times New Roman"/>
          <w:b/>
          <w:bCs/>
          <w:color w:val="000000"/>
          <w:sz w:val="28"/>
          <w:szCs w:val="28"/>
        </w:rPr>
        <w:t>- 97 -</w:t>
      </w:r>
      <w:r>
        <w:rPr>
          <w:rStyle w:val="22"/>
          <w:rFonts w:hint="default" w:ascii="Times New Roman" w:hAnsi="Times New Roman" w:eastAsia="黑体" w:cs="Times New Roman"/>
          <w:b/>
          <w:bCs/>
          <w:color w:val="000000"/>
          <w:sz w:val="28"/>
          <w:szCs w:val="28"/>
        </w:rPr>
        <w:fldChar w:fldCharType="end"/>
      </w:r>
      <w:r>
        <w:rPr>
          <w:rStyle w:val="22"/>
          <w:rFonts w:hint="default" w:ascii="Times New Roman" w:hAnsi="Times New Roman" w:eastAsia="黑体" w:cs="Times New Roman"/>
          <w:b/>
          <w:bCs/>
          <w:color w:val="000000"/>
          <w:sz w:val="28"/>
          <w:szCs w:val="28"/>
        </w:rPr>
        <w:fldChar w:fldCharType="end"/>
      </w:r>
    </w:p>
    <w:p w14:paraId="20E21CA8">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_Toc3857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第一节 全面加强党的领导</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_Toc3857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- 97 -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6F596762">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_Toc1362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第二节 推进社会主义民主政治建设</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_Toc1362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- 98 -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6D0B91AE">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_Toc1739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第三节 健全规划制定和落实机制</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_Toc1739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- 99 -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41A7DD47">
      <w:pPr>
        <w:pStyle w:val="15"/>
        <w:tabs>
          <w:tab w:val="right" w:leader="dot" w:pos="8834"/>
        </w:tabs>
        <w:spacing w:line="600" w:lineRule="exact"/>
        <w:rPr>
          <w:rStyle w:val="22"/>
          <w:rFonts w:hint="default" w:ascii="Times New Roman" w:hAnsi="Times New Roman" w:eastAsia="楷体" w:cs="Times New Roman"/>
          <w:b/>
          <w:bCs/>
          <w:color w:val="000000"/>
          <w:sz w:val="28"/>
          <w:szCs w:val="28"/>
        </w:rPr>
      </w:pP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HYPERLINK \l _Toc11866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第四节 凝聚社会各方力量</w:t>
      </w:r>
      <w:r>
        <w:rPr>
          <w:rStyle w:val="22"/>
          <w:rFonts w:hint="default" w:ascii="Times New Roman" w:hAnsi="Times New Roman" w:eastAsia="楷体" w:cs="Times New Roman"/>
          <w:b/>
          <w:bCs/>
          <w:color w:val="000000"/>
          <w:sz w:val="28"/>
          <w:szCs w:val="28"/>
        </w:rPr>
        <w:tab/>
      </w:r>
      <w:r>
        <w:rPr>
          <w:rStyle w:val="22"/>
          <w:rFonts w:hint="default" w:ascii="Times New Roman" w:hAnsi="Times New Roman" w:eastAsia="楷体" w:cs="Times New Roman"/>
          <w:b/>
          <w:bCs/>
          <w:color w:val="000000"/>
          <w:sz w:val="28"/>
          <w:szCs w:val="28"/>
        </w:rPr>
        <w:fldChar w:fldCharType="begin"/>
      </w:r>
      <w:r>
        <w:rPr>
          <w:rStyle w:val="22"/>
          <w:rFonts w:hint="default" w:ascii="Times New Roman" w:hAnsi="Times New Roman" w:eastAsia="楷体" w:cs="Times New Roman"/>
          <w:b/>
          <w:bCs/>
          <w:color w:val="000000"/>
          <w:sz w:val="28"/>
          <w:szCs w:val="28"/>
        </w:rPr>
        <w:instrText xml:space="preserve"> PAGEREF _Toc11866 \h </w:instrText>
      </w:r>
      <w:r>
        <w:rPr>
          <w:rStyle w:val="22"/>
          <w:rFonts w:hint="default" w:ascii="Times New Roman" w:hAnsi="Times New Roman" w:eastAsia="楷体" w:cs="Times New Roman"/>
          <w:b/>
          <w:bCs/>
          <w:color w:val="000000"/>
          <w:sz w:val="28"/>
          <w:szCs w:val="28"/>
        </w:rPr>
        <w:fldChar w:fldCharType="separate"/>
      </w:r>
      <w:r>
        <w:rPr>
          <w:rStyle w:val="22"/>
          <w:rFonts w:hint="default" w:ascii="Times New Roman" w:hAnsi="Times New Roman" w:eastAsia="楷体" w:cs="Times New Roman"/>
          <w:b/>
          <w:bCs/>
          <w:color w:val="000000"/>
          <w:sz w:val="28"/>
          <w:szCs w:val="28"/>
        </w:rPr>
        <w:t>- 101 -</w:t>
      </w:r>
      <w:r>
        <w:rPr>
          <w:rStyle w:val="22"/>
          <w:rFonts w:hint="default" w:ascii="Times New Roman" w:hAnsi="Times New Roman" w:eastAsia="楷体" w:cs="Times New Roman"/>
          <w:b/>
          <w:bCs/>
          <w:color w:val="000000"/>
          <w:sz w:val="28"/>
          <w:szCs w:val="28"/>
        </w:rPr>
        <w:fldChar w:fldCharType="end"/>
      </w:r>
      <w:r>
        <w:rPr>
          <w:rStyle w:val="22"/>
          <w:rFonts w:hint="default" w:ascii="Times New Roman" w:hAnsi="Times New Roman" w:eastAsia="楷体" w:cs="Times New Roman"/>
          <w:b/>
          <w:bCs/>
          <w:color w:val="000000"/>
          <w:sz w:val="28"/>
          <w:szCs w:val="28"/>
        </w:rPr>
        <w:fldChar w:fldCharType="end"/>
      </w:r>
    </w:p>
    <w:p w14:paraId="74546EC4">
      <w:pPr>
        <w:spacing w:line="600" w:lineRule="exact"/>
        <w:rPr>
          <w:rFonts w:hint="default" w:ascii="Times New Roman" w:hAnsi="Times New Roman" w:cs="Times New Roman"/>
          <w:color w:val="000000"/>
        </w:rPr>
      </w:pPr>
      <w:r>
        <w:rPr>
          <w:rFonts w:hint="default" w:ascii="Times New Roman" w:hAnsi="Times New Roman" w:cs="Times New Roman"/>
          <w:color w:val="000000"/>
        </w:rPr>
        <w:fldChar w:fldCharType="end"/>
      </w:r>
    </w:p>
    <w:p w14:paraId="0A691ADA">
      <w:pPr>
        <w:pStyle w:val="16"/>
        <w:widowControl w:val="0"/>
        <w:adjustRightInd w:val="0"/>
        <w:spacing w:before="0" w:beforeAutospacing="0" w:after="0" w:afterAutospacing="0" w:line="600" w:lineRule="exact"/>
        <w:jc w:val="center"/>
        <w:outlineLvl w:val="0"/>
        <w:rPr>
          <w:rFonts w:hint="default" w:ascii="Times New Roman" w:hAnsi="Times New Roman" w:eastAsia="黑体" w:cs="Times New Roman"/>
          <w:color w:val="000000"/>
          <w:szCs w:val="36"/>
        </w:rPr>
        <w:sectPr>
          <w:footerReference r:id="rId5" w:type="default"/>
          <w:pgSz w:w="11906" w:h="16838"/>
          <w:pgMar w:top="1871" w:right="1531" w:bottom="1701" w:left="1531" w:header="851" w:footer="1361" w:gutter="0"/>
          <w:pgBorders>
            <w:top w:val="none" w:sz="0" w:space="0"/>
            <w:left w:val="none" w:sz="0" w:space="0"/>
            <w:bottom w:val="none" w:sz="0" w:space="0"/>
            <w:right w:val="none" w:sz="0" w:space="0"/>
          </w:pgBorders>
          <w:pgNumType w:fmt="numberInDash" w:start="1"/>
          <w:cols w:space="720" w:num="1"/>
          <w:rtlGutter w:val="0"/>
          <w:docGrid w:type="lines" w:linePitch="312" w:charSpace="0"/>
        </w:sectPr>
      </w:pPr>
    </w:p>
    <w:p w14:paraId="747A8DD1">
      <w:pPr>
        <w:pStyle w:val="16"/>
        <w:keepNext w:val="0"/>
        <w:keepLines w:val="0"/>
        <w:pageBreakBefore w:val="0"/>
        <w:widowControl w:val="0"/>
        <w:kinsoku/>
        <w:wordWrap/>
        <w:overflowPunct w:val="0"/>
        <w:topLinePunct w:val="0"/>
        <w:autoSpaceDE w:val="0"/>
        <w:autoSpaceDN w:val="0"/>
        <w:bidi w:val="0"/>
        <w:adjustRightInd w:val="0"/>
        <w:snapToGrid/>
        <w:spacing w:before="0" w:beforeAutospacing="0" w:after="0" w:afterAutospacing="0" w:line="600" w:lineRule="exact"/>
        <w:ind w:left="0" w:leftChars="0"/>
        <w:jc w:val="center"/>
        <w:textAlignment w:val="auto"/>
        <w:outlineLvl w:val="0"/>
        <w:rPr>
          <w:rFonts w:hint="default" w:ascii="Times New Roman" w:hAnsi="Times New Roman" w:eastAsia="楷体_GB2312" w:cs="Times New Roman"/>
          <w:color w:val="000000"/>
          <w:sz w:val="32"/>
          <w:szCs w:val="32"/>
          <w:lang w:bidi="ar"/>
        </w:rPr>
      </w:pPr>
      <w:bookmarkStart w:id="9" w:name="_Toc4894"/>
      <w:bookmarkStart w:id="10" w:name="_Toc5305"/>
      <w:r>
        <w:rPr>
          <w:rStyle w:val="20"/>
          <w:rFonts w:hint="default" w:ascii="Times New Roman" w:hAnsi="Times New Roman" w:eastAsia="黑体" w:cs="Times New Roman"/>
          <w:b w:val="0"/>
          <w:bCs w:val="0"/>
          <w:color w:val="000000"/>
          <w:sz w:val="36"/>
          <w:szCs w:val="36"/>
        </w:rPr>
        <w:br w:type="page"/>
      </w:r>
      <w:r>
        <w:rPr>
          <w:rStyle w:val="20"/>
          <w:rFonts w:hint="default" w:ascii="Times New Roman" w:hAnsi="Times New Roman" w:eastAsia="黑体" w:cs="Times New Roman"/>
          <w:b w:val="0"/>
          <w:bCs w:val="0"/>
          <w:color w:val="000000"/>
          <w:sz w:val="36"/>
          <w:szCs w:val="36"/>
        </w:rPr>
        <w:t>前  言</w:t>
      </w:r>
      <w:bookmarkEnd w:id="0"/>
      <w:bookmarkEnd w:id="1"/>
      <w:bookmarkEnd w:id="2"/>
      <w:bookmarkEnd w:id="3"/>
      <w:bookmarkEnd w:id="4"/>
      <w:bookmarkEnd w:id="5"/>
      <w:bookmarkEnd w:id="6"/>
      <w:bookmarkEnd w:id="7"/>
      <w:bookmarkEnd w:id="9"/>
      <w:bookmarkEnd w:id="10"/>
    </w:p>
    <w:p w14:paraId="76B7DF57">
      <w:pPr>
        <w:keepNext w:val="0"/>
        <w:keepLines w:val="0"/>
        <w:pageBreakBefore w:val="0"/>
        <w:widowControl w:val="0"/>
        <w:kinsoku/>
        <w:wordWrap/>
        <w:overflowPunct w:val="0"/>
        <w:topLinePunct w:val="0"/>
        <w:autoSpaceDE w:val="0"/>
        <w:autoSpaceDN w:val="0"/>
        <w:bidi w:val="0"/>
        <w:snapToGrid/>
        <w:spacing w:line="600" w:lineRule="exact"/>
        <w:ind w:left="0" w:leftChars="0" w:firstLine="640" w:firstLineChars="200"/>
        <w:textAlignment w:val="auto"/>
        <w:rPr>
          <w:rFonts w:hint="default" w:ascii="Times New Roman" w:hAnsi="Times New Roman" w:eastAsia="仿宋_GB2312" w:cs="Times New Roman"/>
          <w:color w:val="000000"/>
          <w:sz w:val="32"/>
          <w:szCs w:val="24"/>
        </w:rPr>
      </w:pPr>
    </w:p>
    <w:p w14:paraId="490A8516">
      <w:pPr>
        <w:keepNext w:val="0"/>
        <w:keepLines w:val="0"/>
        <w:pageBreakBefore w:val="0"/>
        <w:widowControl w:val="0"/>
        <w:kinsoku/>
        <w:wordWrap/>
        <w:overflowPunct w:val="0"/>
        <w:topLinePunct w:val="0"/>
        <w:autoSpaceDE w:val="0"/>
        <w:autoSpaceDN w:val="0"/>
        <w:bidi w:val="0"/>
        <w:snapToGrid/>
        <w:spacing w:line="600" w:lineRule="exact"/>
        <w:ind w:left="0" w:leftChars="0" w:firstLine="640" w:firstLineChars="200"/>
        <w:textAlignment w:val="auto"/>
        <w:rPr>
          <w:rFonts w:hint="default" w:ascii="Times New Roman" w:hAnsi="Times New Roman" w:eastAsia="仿宋_GB2312" w:cs="Times New Roman"/>
          <w:color w:val="000000"/>
          <w:sz w:val="32"/>
          <w:szCs w:val="24"/>
        </w:rPr>
      </w:pPr>
      <w:r>
        <w:rPr>
          <w:rFonts w:hint="eastAsia"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十五五</w:t>
      </w:r>
      <w:r>
        <w:rPr>
          <w:rFonts w:hint="eastAsia"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时期，是我国全面建设社会主义现代化国家新征程的关键时期，也是巨鹿县扬长补短、乘势而上、全面提升的关键五年。科学编制并组织实施好《巨鹿县国民经济和社会发展第十五个五年规划纲要》，有利于广泛凝聚共识、明确发展方向、激发奋进力量，对推动社会经济高质量发展、加快建设</w:t>
      </w:r>
      <w:r>
        <w:rPr>
          <w:rFonts w:hint="eastAsia"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经济强县、美丽巨鹿</w:t>
      </w:r>
      <w:r>
        <w:rPr>
          <w:rFonts w:hint="eastAsia"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具有重要意义。</w:t>
      </w:r>
    </w:p>
    <w:p w14:paraId="4CD2FA12">
      <w:pPr>
        <w:keepNext w:val="0"/>
        <w:keepLines w:val="0"/>
        <w:pageBreakBefore w:val="0"/>
        <w:widowControl w:val="0"/>
        <w:kinsoku/>
        <w:wordWrap/>
        <w:overflowPunct w:val="0"/>
        <w:topLinePunct w:val="0"/>
        <w:autoSpaceDE w:val="0"/>
        <w:autoSpaceDN w:val="0"/>
        <w:bidi w:val="0"/>
        <w:snapToGrid/>
        <w:spacing w:line="600" w:lineRule="exact"/>
        <w:ind w:left="0" w:leftChars="0" w:firstLine="640"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本规划纲要根据《中共巨鹿县委关于制定国民经济和社会发展第十五个五年规划的建议》编制，主要阐明</w:t>
      </w:r>
      <w:r>
        <w:rPr>
          <w:rFonts w:hint="eastAsia"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十五五</w:t>
      </w:r>
      <w:r>
        <w:rPr>
          <w:rFonts w:hint="eastAsia" w:ascii="Times New Roman" w:hAnsi="Times New Roman" w:eastAsia="仿宋_GB2312" w:cs="Times New Roman"/>
          <w:color w:val="000000"/>
          <w:sz w:val="32"/>
          <w:szCs w:val="24"/>
          <w:lang w:eastAsia="zh-CN"/>
        </w:rPr>
        <w:t>”</w:t>
      </w:r>
      <w:r>
        <w:rPr>
          <w:rFonts w:hint="default" w:ascii="Times New Roman" w:hAnsi="Times New Roman" w:eastAsia="仿宋_GB2312" w:cs="Times New Roman"/>
          <w:color w:val="000000"/>
          <w:sz w:val="32"/>
          <w:szCs w:val="24"/>
        </w:rPr>
        <w:t>时期全县经济社会发展的指导思想、发展目标、重点任务和具体路径。为促进经济实现质的有效提升和量的合理增长，推动人的全面发展、全体人民共同富裕迈出坚实步伐，保持社会和谐稳定，指明方向、提供遵循。本纲要进一步明确政府工作的重点，是全县各级政府和部门依法履行工作职责，编制和实施各类规划、计划以及制定相关政策的重要依据，是今后五年指导全县人民共同奋斗的行动纲领。规划期为2026年—2030年。</w:t>
      </w:r>
    </w:p>
    <w:p w14:paraId="360B490A">
      <w:pPr>
        <w:keepNext w:val="0"/>
        <w:keepLines w:val="0"/>
        <w:pageBreakBefore w:val="0"/>
        <w:widowControl w:val="0"/>
        <w:kinsoku/>
        <w:wordWrap/>
        <w:overflowPunct w:val="0"/>
        <w:topLinePunct w:val="0"/>
        <w:autoSpaceDE w:val="0"/>
        <w:autoSpaceDN w:val="0"/>
        <w:bidi w:val="0"/>
        <w:snapToGrid/>
        <w:spacing w:line="600" w:lineRule="exact"/>
        <w:ind w:left="0" w:leftChars="0" w:firstLine="640"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br w:type="page"/>
      </w:r>
    </w:p>
    <w:p w14:paraId="323B9960">
      <w:pPr>
        <w:keepNext w:val="0"/>
        <w:keepLines w:val="0"/>
        <w:pageBreakBefore w:val="0"/>
        <w:widowControl w:val="0"/>
        <w:kinsoku/>
        <w:wordWrap/>
        <w:overflowPunct w:val="0"/>
        <w:topLinePunct w:val="0"/>
        <w:autoSpaceDE w:val="0"/>
        <w:autoSpaceDN w:val="0"/>
        <w:bidi w:val="0"/>
        <w:snapToGrid/>
        <w:spacing w:line="600" w:lineRule="exact"/>
        <w:ind w:left="0" w:leftChars="0" w:firstLine="640" w:firstLineChars="200"/>
        <w:textAlignment w:val="auto"/>
        <w:rPr>
          <w:rFonts w:hint="default" w:ascii="Times New Roman" w:hAnsi="Times New Roman" w:eastAsia="仿宋_GB2312" w:cs="Times New Roman"/>
          <w:color w:val="000000"/>
          <w:sz w:val="32"/>
          <w:szCs w:val="24"/>
        </w:rPr>
      </w:pPr>
    </w:p>
    <w:p w14:paraId="618C1C46">
      <w:pPr>
        <w:keepNext w:val="0"/>
        <w:keepLines w:val="0"/>
        <w:pageBreakBefore w:val="0"/>
        <w:widowControl w:val="0"/>
        <w:kinsoku/>
        <w:wordWrap/>
        <w:overflowPunct w:val="0"/>
        <w:topLinePunct w:val="0"/>
        <w:autoSpaceDE w:val="0"/>
        <w:autoSpaceDN w:val="0"/>
        <w:bidi w:val="0"/>
        <w:snapToGrid/>
        <w:spacing w:line="600" w:lineRule="exact"/>
        <w:ind w:left="0" w:leftChars="0"/>
        <w:textAlignment w:val="auto"/>
        <w:rPr>
          <w:rFonts w:hint="default" w:ascii="Times New Roman" w:hAnsi="Times New Roman" w:eastAsia="仿宋_GB2312" w:cs="Times New Roman"/>
          <w:color w:val="000000"/>
        </w:rPr>
      </w:pPr>
    </w:p>
    <w:p w14:paraId="1922797A">
      <w:pPr>
        <w:keepNext w:val="0"/>
        <w:keepLines w:val="0"/>
        <w:pageBreakBefore w:val="0"/>
        <w:widowControl w:val="0"/>
        <w:numPr>
          <w:ilvl w:val="0"/>
          <w:numId w:val="1"/>
        </w:numPr>
        <w:kinsoku/>
        <w:wordWrap/>
        <w:overflowPunct w:val="0"/>
        <w:topLinePunct w:val="0"/>
        <w:autoSpaceDE w:val="0"/>
        <w:autoSpaceDN w:val="0"/>
        <w:bidi w:val="0"/>
        <w:snapToGrid/>
        <w:spacing w:line="600" w:lineRule="exact"/>
        <w:ind w:left="0" w:leftChars="0"/>
        <w:contextualSpacing/>
        <w:jc w:val="center"/>
        <w:textAlignment w:val="auto"/>
        <w:outlineLvl w:val="0"/>
        <w:rPr>
          <w:rFonts w:hint="default" w:ascii="Times New Roman" w:hAnsi="Times New Roman" w:eastAsia="黑体" w:cs="Times New Roman"/>
          <w:b/>
          <w:color w:val="000000"/>
          <w:sz w:val="32"/>
          <w:szCs w:val="28"/>
        </w:rPr>
        <w:sectPr>
          <w:footerReference r:id="rId6" w:type="default"/>
          <w:pgSz w:w="11906" w:h="16838"/>
          <w:pgMar w:top="1871" w:right="1531" w:bottom="1701" w:left="1531" w:header="851" w:footer="1361" w:gutter="0"/>
          <w:pgBorders>
            <w:top w:val="none" w:sz="0" w:space="0"/>
            <w:left w:val="none" w:sz="0" w:space="0"/>
            <w:bottom w:val="none" w:sz="0" w:space="0"/>
            <w:right w:val="none" w:sz="0" w:space="0"/>
          </w:pgBorders>
          <w:pgNumType w:fmt="numberInDash" w:start="1"/>
          <w:cols w:space="720" w:num="1"/>
          <w:rtlGutter w:val="0"/>
          <w:docGrid w:type="lines" w:linePitch="312" w:charSpace="0"/>
        </w:sectPr>
      </w:pPr>
      <w:bookmarkStart w:id="11" w:name="_Toc3978"/>
    </w:p>
    <w:bookmarkEnd w:id="11"/>
    <w:p w14:paraId="0A0A2D43">
      <w:pPr>
        <w:keepNext w:val="0"/>
        <w:keepLines w:val="0"/>
        <w:pageBreakBefore w:val="0"/>
        <w:widowControl w:val="0"/>
        <w:kinsoku/>
        <w:wordWrap/>
        <w:overflowPunct w:val="0"/>
        <w:topLinePunct w:val="0"/>
        <w:autoSpaceDE w:val="0"/>
        <w:autoSpaceDN w:val="0"/>
        <w:bidi w:val="0"/>
        <w:snapToGrid/>
        <w:spacing w:line="570" w:lineRule="exact"/>
        <w:ind w:left="0" w:leftChars="0"/>
        <w:contextualSpacing/>
        <w:jc w:val="center"/>
        <w:textAlignment w:val="auto"/>
        <w:outlineLvl w:val="0"/>
        <w:rPr>
          <w:rFonts w:hint="default" w:ascii="Times New Roman" w:hAnsi="Times New Roman" w:eastAsia="黑体" w:cs="Times New Roman"/>
          <w:bCs/>
          <w:color w:val="000000"/>
          <w:sz w:val="32"/>
          <w:szCs w:val="28"/>
        </w:rPr>
      </w:pPr>
      <w:bookmarkStart w:id="12" w:name="_Toc30770"/>
      <w:bookmarkStart w:id="13" w:name="_Toc1581"/>
      <w:r>
        <w:rPr>
          <w:rFonts w:hint="default" w:ascii="Times New Roman" w:hAnsi="Times New Roman" w:eastAsia="黑体" w:cs="Times New Roman"/>
          <w:bCs/>
          <w:color w:val="000000"/>
          <w:sz w:val="32"/>
          <w:szCs w:val="28"/>
        </w:rPr>
        <w:t>第一章</w:t>
      </w:r>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砥砺奋进、真抓实干，经济社会高质量发展迈出</w:t>
      </w:r>
    </w:p>
    <w:p w14:paraId="4B2E5C5C">
      <w:pPr>
        <w:keepNext w:val="0"/>
        <w:keepLines w:val="0"/>
        <w:pageBreakBefore w:val="0"/>
        <w:widowControl w:val="0"/>
        <w:kinsoku/>
        <w:wordWrap/>
        <w:overflowPunct w:val="0"/>
        <w:topLinePunct w:val="0"/>
        <w:autoSpaceDE w:val="0"/>
        <w:autoSpaceDN w:val="0"/>
        <w:bidi w:val="0"/>
        <w:snapToGrid/>
        <w:spacing w:line="570" w:lineRule="exact"/>
        <w:ind w:left="0" w:leftChars="0"/>
        <w:contextualSpacing/>
        <w:jc w:val="center"/>
        <w:textAlignment w:val="auto"/>
        <w:outlineLvl w:val="0"/>
        <w:rPr>
          <w:rFonts w:hint="default" w:ascii="Times New Roman" w:hAnsi="Times New Roman" w:eastAsia="黑体" w:cs="Times New Roman"/>
          <w:bCs/>
          <w:color w:val="000000"/>
          <w:sz w:val="32"/>
          <w:szCs w:val="28"/>
        </w:rPr>
      </w:pPr>
      <w:r>
        <w:rPr>
          <w:rFonts w:hint="default" w:ascii="Times New Roman" w:hAnsi="Times New Roman" w:eastAsia="黑体" w:cs="Times New Roman"/>
          <w:bCs/>
          <w:color w:val="000000"/>
          <w:sz w:val="32"/>
          <w:szCs w:val="28"/>
        </w:rPr>
        <w:t>坚实步伐</w:t>
      </w:r>
      <w:bookmarkEnd w:id="12"/>
      <w:bookmarkEnd w:id="13"/>
    </w:p>
    <w:p w14:paraId="22533158">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0" w:firstLineChars="200"/>
        <w:textAlignment w:val="auto"/>
        <w:rPr>
          <w:rFonts w:hint="default" w:ascii="Times New Roman" w:hAnsi="Times New Roman" w:eastAsia="黑体" w:cs="Times New Roman"/>
          <w:b/>
          <w:color w:val="000000"/>
          <w:sz w:val="32"/>
          <w:szCs w:val="28"/>
        </w:rPr>
      </w:pP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十四五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时期，巨鹿县坚持以习近平新时代中国特色社会主义思想为指导，深入落实习近平总书记系列重要讲话</w:t>
      </w:r>
      <w:r>
        <w:rPr>
          <w:rFonts w:hint="eastAsia" w:eastAsia="仿宋_GB2312" w:cs="Times New Roman"/>
          <w:color w:val="000000"/>
          <w:sz w:val="32"/>
          <w:szCs w:val="32"/>
          <w:lang w:val="en-US" w:eastAsia="zh-CN"/>
        </w:rPr>
        <w:t>和</w:t>
      </w:r>
      <w:r>
        <w:rPr>
          <w:rFonts w:hint="default" w:ascii="Times New Roman" w:hAnsi="Times New Roman" w:eastAsia="仿宋_GB2312" w:cs="Times New Roman"/>
          <w:color w:val="000000"/>
          <w:sz w:val="32"/>
          <w:szCs w:val="32"/>
        </w:rPr>
        <w:t>重要指示批示精神，深入贯彻落实党中央、国务院决策部署和省、市工作安排，团结带领全县广大党员干部，牢记嘱托、感恩奋进，深刻领悟</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两个确立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的决定性意义，增强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四个意识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、坚定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四个自信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、做到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两个维护</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，持续唱响</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解放思想、奋发进取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主旋律，坚持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一五五八</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发展思路，坚定不移抓创新、兴产业、促改革、优环境、惠民生、保安全，全县经济社会发展取得重大成就，</w:t>
      </w:r>
      <w:r>
        <w:rPr>
          <w:rFonts w:hint="default" w:ascii="Times New Roman" w:hAnsi="Times New Roman" w:eastAsia="仿宋_GB2312" w:cs="Times New Roman"/>
          <w:color w:val="000000"/>
          <w:kern w:val="0"/>
          <w:sz w:val="32"/>
          <w:szCs w:val="32"/>
        </w:rPr>
        <w:t>高质量发展迈出坚实步伐。</w:t>
      </w:r>
    </w:p>
    <w:p w14:paraId="1EB007F5">
      <w:pPr>
        <w:keepNext w:val="0"/>
        <w:keepLines w:val="0"/>
        <w:pageBreakBefore w:val="0"/>
        <w:widowControl w:val="0"/>
        <w:kinsoku/>
        <w:wordWrap/>
        <w:overflowPunct w:val="0"/>
        <w:topLinePunct w:val="0"/>
        <w:autoSpaceDE w:val="0"/>
        <w:autoSpaceDN w:val="0"/>
        <w:bidi w:val="0"/>
        <w:snapToGrid/>
        <w:spacing w:line="570" w:lineRule="exact"/>
        <w:ind w:left="0" w:leftChars="0"/>
        <w:contextualSpacing/>
        <w:jc w:val="center"/>
        <w:textAlignment w:val="auto"/>
        <w:outlineLvl w:val="1"/>
        <w:rPr>
          <w:rFonts w:hint="default" w:ascii="Times New Roman" w:hAnsi="Times New Roman" w:eastAsia="楷体" w:cs="Times New Roman"/>
          <w:b/>
          <w:color w:val="000000"/>
          <w:sz w:val="32"/>
          <w:szCs w:val="28"/>
        </w:rPr>
      </w:pPr>
      <w:bookmarkStart w:id="14" w:name="_Toc2632"/>
      <w:bookmarkStart w:id="15" w:name="_Toc15036"/>
      <w:bookmarkStart w:id="16" w:name="_Toc11309"/>
      <w:r>
        <w:rPr>
          <w:rFonts w:hint="default" w:ascii="Times New Roman" w:hAnsi="Times New Roman" w:eastAsia="楷体" w:cs="Times New Roman"/>
          <w:b/>
          <w:color w:val="000000"/>
          <w:sz w:val="32"/>
          <w:szCs w:val="28"/>
        </w:rPr>
        <w:t xml:space="preserve">第一节 </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十四五</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取得成效</w:t>
      </w:r>
      <w:bookmarkEnd w:id="14"/>
      <w:bookmarkEnd w:id="15"/>
      <w:bookmarkEnd w:id="16"/>
    </w:p>
    <w:p w14:paraId="16843857">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color w:val="000000"/>
          <w:kern w:val="0"/>
          <w:sz w:val="32"/>
          <w:szCs w:val="32"/>
        </w:rPr>
        <w:t>——综合经济实力持续跃升。</w:t>
      </w:r>
      <w:r>
        <w:rPr>
          <w:rFonts w:hint="default" w:ascii="Times New Roman" w:hAnsi="Times New Roman" w:eastAsia="仿宋_GB2312" w:cs="Times New Roman"/>
          <w:color w:val="000000"/>
          <w:kern w:val="0"/>
          <w:sz w:val="32"/>
          <w:szCs w:val="32"/>
        </w:rPr>
        <w:t>2025年，巨鹿县地区生产总值达到135亿</w:t>
      </w:r>
      <w:r>
        <w:rPr>
          <w:rFonts w:hint="eastAsia" w:eastAsia="仿宋_GB2312" w:cs="Times New Roman"/>
          <w:color w:val="000000"/>
          <w:kern w:val="0"/>
          <w:sz w:val="32"/>
          <w:szCs w:val="32"/>
          <w:lang w:val="en-US" w:eastAsia="zh-CN"/>
        </w:rPr>
        <w:t>元</w:t>
      </w:r>
      <w:r>
        <w:rPr>
          <w:rFonts w:hint="default"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十四五</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期间年均增长5.5%。一般公共预算收入量质齐升，总量达到7.46亿元，税收占比达到60.5%，较</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十三五</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末提高了9.4个百分点。纳税超千万企业由5家增至14家。经济开发区主营业务收入年均增长10%。城乡居民可支配收入分别达到3.9万元、1.5万元，增速高于全国和省、市。粮食生产实现连丰，粮食总产量突破4.4亿斤。</w:t>
      </w:r>
    </w:p>
    <w:p w14:paraId="4EF3B4C6">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color w:val="000000"/>
          <w:kern w:val="0"/>
          <w:sz w:val="32"/>
          <w:szCs w:val="32"/>
        </w:rPr>
        <w:t>——特色产业发展势头强劲。</w:t>
      </w:r>
      <w:r>
        <w:rPr>
          <w:rFonts w:hint="eastAsia" w:ascii="Times New Roman" w:hAnsi="Times New Roman" w:eastAsia="仿宋_GB2312" w:cs="Times New Roman"/>
          <w:bCs/>
          <w:color w:val="000000"/>
          <w:kern w:val="0"/>
          <w:sz w:val="32"/>
          <w:szCs w:val="32"/>
          <w:lang w:eastAsia="zh-CN"/>
        </w:rPr>
        <w:t>“</w:t>
      </w:r>
      <w:r>
        <w:rPr>
          <w:rFonts w:hint="default" w:ascii="Times New Roman" w:hAnsi="Times New Roman" w:eastAsia="仿宋_GB2312" w:cs="Times New Roman"/>
          <w:bCs/>
          <w:color w:val="000000"/>
          <w:kern w:val="0"/>
          <w:sz w:val="32"/>
          <w:szCs w:val="32"/>
        </w:rPr>
        <w:t>十四五</w:t>
      </w:r>
      <w:r>
        <w:rPr>
          <w:rFonts w:hint="eastAsia" w:ascii="Times New Roman" w:hAnsi="Times New Roman" w:eastAsia="仿宋_GB2312" w:cs="Times New Roman"/>
          <w:bCs/>
          <w:color w:val="000000"/>
          <w:kern w:val="0"/>
          <w:sz w:val="32"/>
          <w:szCs w:val="32"/>
          <w:lang w:eastAsia="zh-CN"/>
        </w:rPr>
        <w:t>”</w:t>
      </w:r>
      <w:r>
        <w:rPr>
          <w:rFonts w:hint="default" w:ascii="Times New Roman" w:hAnsi="Times New Roman" w:eastAsia="仿宋_GB2312" w:cs="Times New Roman"/>
          <w:bCs/>
          <w:color w:val="000000"/>
          <w:kern w:val="0"/>
          <w:sz w:val="32"/>
          <w:szCs w:val="32"/>
        </w:rPr>
        <w:t>以来县委</w:t>
      </w:r>
      <w:r>
        <w:rPr>
          <w:rFonts w:hint="eastAsia" w:eastAsia="仿宋_GB2312" w:cs="Times New Roman"/>
          <w:bCs/>
          <w:color w:val="000000"/>
          <w:kern w:val="0"/>
          <w:sz w:val="32"/>
          <w:szCs w:val="32"/>
          <w:lang w:eastAsia="zh-CN"/>
        </w:rPr>
        <w:t>县人民政府</w:t>
      </w:r>
      <w:r>
        <w:rPr>
          <w:rFonts w:hint="default" w:ascii="Times New Roman" w:hAnsi="Times New Roman" w:eastAsia="仿宋_GB2312" w:cs="Times New Roman"/>
          <w:color w:val="000000"/>
          <w:kern w:val="0"/>
          <w:sz w:val="32"/>
          <w:szCs w:val="32"/>
        </w:rPr>
        <w:t>大力推进项目投资突破和工业经济壮大工程，累计实施省重点项目18个、市重点项目80个，签约引进项目268个，其中亿元以上项目196个。大力构建</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双轮驱动</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产业体系，高端装备关键零部件制造产业集群入选全省107个县域特色产业集群和省级中小企业特色产业集群，探索形成了</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四位一体共享智造+园中园+展会</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发展新路径，集群规上企业由37家增至57家，营业收入</w:t>
      </w:r>
      <w:r>
        <w:rPr>
          <w:rFonts w:hint="default" w:ascii="Times New Roman" w:hAnsi="Times New Roman" w:eastAsia="仿宋_GB2312" w:cs="Times New Roman"/>
          <w:color w:val="000000"/>
          <w:kern w:val="0"/>
          <w:sz w:val="32"/>
          <w:szCs w:val="32"/>
          <w:lang w:eastAsia="zh-CN"/>
        </w:rPr>
        <w:t>突破</w:t>
      </w:r>
      <w:r>
        <w:rPr>
          <w:rFonts w:hint="default" w:ascii="Times New Roman" w:hAnsi="Times New Roman" w:eastAsia="仿宋_GB2312" w:cs="Times New Roman"/>
          <w:color w:val="000000"/>
          <w:kern w:val="0"/>
          <w:sz w:val="32"/>
          <w:szCs w:val="32"/>
        </w:rPr>
        <w:t>1</w:t>
      </w:r>
      <w:r>
        <w:rPr>
          <w:rFonts w:hint="default" w:ascii="Times New Roman" w:hAnsi="Times New Roman" w:eastAsia="仿宋_GB2312" w:cs="Times New Roman"/>
          <w:color w:val="000000"/>
          <w:kern w:val="0"/>
          <w:sz w:val="32"/>
          <w:szCs w:val="32"/>
          <w:lang w:val="en-US" w:eastAsia="zh-CN"/>
        </w:rPr>
        <w:t>30</w:t>
      </w:r>
      <w:r>
        <w:rPr>
          <w:rFonts w:hint="default" w:ascii="Times New Roman" w:hAnsi="Times New Roman" w:eastAsia="仿宋_GB2312" w:cs="Times New Roman"/>
          <w:color w:val="000000"/>
          <w:kern w:val="0"/>
          <w:sz w:val="32"/>
          <w:szCs w:val="32"/>
        </w:rPr>
        <w:t>亿元。新型能源强县建设取得重大进展，</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十四五</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期间累计完成新能源项目投资超30亿元，新能源总装机规模达到725兆瓦，较</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十三五</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末翻了一番，集风电、光伏、生物质能源、新能源电池及设备、新能源电动车于一体的多业态产业体系更加完善，获评国家级整县屋顶分布式光伏开发试点。</w:t>
      </w:r>
    </w:p>
    <w:p w14:paraId="4C8CEE61">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color w:val="000000"/>
          <w:kern w:val="0"/>
          <w:sz w:val="32"/>
          <w:szCs w:val="32"/>
        </w:rPr>
        <w:t>——改革创新活力持续迸发。</w:t>
      </w:r>
      <w:r>
        <w:rPr>
          <w:rFonts w:hint="default" w:ascii="Times New Roman" w:hAnsi="Times New Roman" w:eastAsia="仿宋_GB2312" w:cs="Times New Roman"/>
          <w:color w:val="000000"/>
          <w:kern w:val="0"/>
          <w:sz w:val="32"/>
          <w:szCs w:val="32"/>
        </w:rPr>
        <w:t>实施优化营商环境</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十条措施</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，建立常态化政企对接机制，市场活跃度大幅提升，全社会用电量突破15亿度，较</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十三五</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末增长67%，市场主体和企业数量分别达到51492家和13670家，均较</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十三五</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末翻了一番，获评国家级营商环境监测站试点和全省社会信用体系建设典型城市县级试点。深化投融体制和国资国企改革，创新打造了</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1+4+N</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金融支持体系。整合成立县属国企巨腾集团，总资产达到54亿元，累计支持建设了13个重大项目。引进了河北银行、燕赵财险等金融机构，开发特色信贷产品39种，金融支持实体经济成效凸显。2025年底全县贷款余额达到270亿元，十四五期间年均增长20%以上，存贷比达到77%，较</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十三五</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末提高了27个百分点。实施创新驱动战略，创设县级科技创新券，累计兑现3500万元支持科技创新，规上工业企业研发投入增长10倍，发明专利从44件提升至96件，研发费用投入强度由0.18%提升至1.87%，县域科技创新能力跃升为全省A类县，获评第二批全国科普示范县。积极推进经济开发区体制机制改革，完成社会事务剥离、审批权限承接、人员薪酬改革，盘活低效闲置用地1350亩，新引进落地18个新项目。</w:t>
      </w:r>
    </w:p>
    <w:p w14:paraId="7B855AEE">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kern w:val="0"/>
          <w:sz w:val="32"/>
          <w:szCs w:val="32"/>
        </w:rPr>
        <w:t>——</w:t>
      </w:r>
      <w:r>
        <w:rPr>
          <w:rFonts w:hint="default" w:ascii="Times New Roman" w:hAnsi="Times New Roman" w:eastAsia="仿宋_GB2312" w:cs="Times New Roman"/>
          <w:b/>
          <w:color w:val="000000"/>
          <w:kern w:val="0"/>
          <w:sz w:val="32"/>
          <w:szCs w:val="32"/>
        </w:rPr>
        <w:t>新型城镇化迈出坚实步伐。</w:t>
      </w:r>
      <w:r>
        <w:rPr>
          <w:rFonts w:hint="default" w:ascii="Times New Roman" w:hAnsi="Times New Roman" w:eastAsia="仿宋_GB2312" w:cs="Times New Roman"/>
          <w:color w:val="000000"/>
          <w:kern w:val="0"/>
          <w:sz w:val="32"/>
          <w:szCs w:val="32"/>
        </w:rPr>
        <w:t>扎实推进宜居巨鹿建设，安排实施了总投资62亿元的52个城建项目，五年来累计贯通</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断头路</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9条、新改建提升城区道路22条，定魏线、杨官线、巨广线等干道过境段全部改造提升，邢衡高速滏阳站建成通车，群众出行更加便捷。建设回迁安置房和保交房超7100套，新增商品住房1.3万套，新建口袋公园23个。完成</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三渠一河</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综合治理，城区主干道雨污分流改造实现全覆盖。实施</w:t>
      </w:r>
      <w:r>
        <w:rPr>
          <w:rFonts w:hint="default" w:ascii="Times New Roman" w:hAnsi="Times New Roman" w:eastAsia="仿宋_GB2312" w:cs="Times New Roman"/>
          <w:color w:val="000000"/>
          <w:sz w:val="32"/>
          <w:szCs w:val="32"/>
        </w:rPr>
        <w:t>垃圾焚烧热电联产集中供热模式，城区集中供热面积达到490万平方米。北部新区建设夯基起势，城中村改造、地</w:t>
      </w:r>
      <w:r>
        <w:rPr>
          <w:rFonts w:hint="default" w:ascii="Times New Roman" w:hAnsi="Times New Roman" w:eastAsia="仿宋_GB2312" w:cs="Times New Roman"/>
          <w:color w:val="000000"/>
          <w:kern w:val="0"/>
          <w:sz w:val="32"/>
          <w:szCs w:val="32"/>
        </w:rPr>
        <w:t>下综合管廊、冀中南物流园等一批重点项目加快建设，大麓文博苑投入使用，大麓生态公园焕新开园，城市功能和品质更优。大力推进以文兴旅，</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两园、两线、两赛、多点</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农文旅发展格局加快构建。实施数字赋能战略，推进数字经济培育工程，建成2万平米的业兴大厦数字经济创新中心，入驻电子商务、数字经济等企业11家，吸纳新就业群体近千人。创设了</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巨好办</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数字综治平台，经验做法被人民日报整版刊发，入选全</w:t>
      </w:r>
      <w:r>
        <w:rPr>
          <w:rFonts w:hint="default" w:ascii="Times New Roman" w:hAnsi="Times New Roman" w:eastAsia="仿宋_GB2312" w:cs="Times New Roman"/>
          <w:color w:val="000000"/>
          <w:sz w:val="32"/>
          <w:szCs w:val="32"/>
        </w:rPr>
        <w:t>国数字乡村治理典型案例，获评全国数字治理百佳县、河北省数字生态十强县。</w:t>
      </w:r>
    </w:p>
    <w:p w14:paraId="218AD598">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kern w:val="0"/>
          <w:sz w:val="32"/>
          <w:szCs w:val="32"/>
        </w:rPr>
        <w:t>——乡村振兴取得显著成效。</w:t>
      </w:r>
      <w:r>
        <w:rPr>
          <w:rFonts w:hint="default" w:ascii="Times New Roman" w:hAnsi="Times New Roman" w:eastAsia="仿宋_GB2312" w:cs="Times New Roman"/>
          <w:color w:val="000000"/>
          <w:kern w:val="0"/>
          <w:sz w:val="32"/>
          <w:szCs w:val="32"/>
        </w:rPr>
        <w:t>实施农业跨越升级战略，推进特色农业提升工程，形成了</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2+N</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多样化特色农业体系，金银花产业成为全国</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风向标</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，总投资6亿元的金银花全产业链发展中心建成投用，获评全省</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十大冀药（金银花）产业大县</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 xml:space="preserve"> 。高油酸花生种植面积从4000亩发展到7万亩，构建了集种植、育种、榨油、深加工、销售于一体的全产业链，2次获得国家立项支持，连续3年承办省级现场会，获评省级油料产业集群项目建设县、河北省高油酸花生基地县和</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河北省气候好产品</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。杏、张杂谷、菊花、设施果蔬等特色产业保持良好发展势头，新增国家地理标志证明商标3个，总数达到6个、全市最多。乡村环境持续改善，新改建提升农村公路74条、161公里，</w:t>
      </w:r>
      <w:r>
        <w:rPr>
          <w:rFonts w:hint="default" w:ascii="Times New Roman" w:hAnsi="Times New Roman" w:eastAsia="仿宋_GB2312" w:cs="Times New Roman"/>
          <w:color w:val="000000"/>
          <w:sz w:val="32"/>
          <w:szCs w:val="32"/>
        </w:rPr>
        <w:t>全县农村公路里程达1533.4公里，所有乡</w:t>
      </w:r>
      <w:r>
        <w:rPr>
          <w:rFonts w:hint="default" w:ascii="Times New Roman" w:hAnsi="Times New Roman" w:eastAsia="仿宋_GB2312" w:cs="Times New Roman"/>
          <w:color w:val="000000"/>
          <w:kern w:val="0"/>
          <w:sz w:val="32"/>
          <w:szCs w:val="32"/>
        </w:rPr>
        <w:t>镇通三级以上公路、危桥全面清零，农村改厕、垃圾处理实现全覆盖，完成115个村生活污水治理、覆盖率达到68%，建成69个和美乡村，获评全省村庄清洁行动先进县、</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四好农村路</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示范县。农业农村改革成果丰硕，特色农业气象指数保险、公益红娘等经验作法全国推广，全省移风易俗现场会在巨鹿召开，获评国家农村改革试验区、全国农村综合性改革试点县、全国气象高质量发展县级试点、全省农</w:t>
      </w:r>
      <w:r>
        <w:rPr>
          <w:rFonts w:hint="default" w:ascii="Times New Roman" w:hAnsi="Times New Roman" w:eastAsia="仿宋_GB2312" w:cs="Times New Roman"/>
          <w:color w:val="000000"/>
          <w:sz w:val="32"/>
          <w:szCs w:val="32"/>
        </w:rPr>
        <w:t>村高额彩礼和大操大办整治试点县</w:t>
      </w:r>
      <w:r>
        <w:rPr>
          <w:rFonts w:hint="default" w:ascii="Times New Roman" w:hAnsi="Times New Roman" w:eastAsia="仿宋_GB2312" w:cs="Times New Roman"/>
          <w:color w:val="000000"/>
          <w:kern w:val="0"/>
          <w:sz w:val="32"/>
          <w:szCs w:val="32"/>
        </w:rPr>
        <w:t>。巩固拓展脱贫攻坚成果取得扎实成效，</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1+3+1</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精准防贫监测帮扶机制入选全国典型案例。</w:t>
      </w:r>
    </w:p>
    <w:p w14:paraId="60694DE0">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bCs/>
          <w:color w:val="000000"/>
          <w:kern w:val="0"/>
          <w:sz w:val="32"/>
          <w:szCs w:val="32"/>
        </w:rPr>
        <w:t>——</w:t>
      </w:r>
      <w:r>
        <w:rPr>
          <w:rFonts w:hint="default" w:ascii="Times New Roman" w:hAnsi="Times New Roman" w:eastAsia="仿宋_GB2312" w:cs="Times New Roman"/>
          <w:b/>
          <w:color w:val="000000"/>
          <w:kern w:val="0"/>
          <w:sz w:val="32"/>
          <w:szCs w:val="32"/>
        </w:rPr>
        <w:t>生态环境质量明显改善。</w:t>
      </w:r>
      <w:r>
        <w:rPr>
          <w:rFonts w:hint="default" w:ascii="Times New Roman" w:hAnsi="Times New Roman" w:eastAsia="仿宋_GB2312" w:cs="Times New Roman"/>
          <w:color w:val="000000"/>
          <w:kern w:val="0"/>
          <w:sz w:val="32"/>
          <w:szCs w:val="32"/>
        </w:rPr>
        <w:t>实施美丽古郡提质工程，深入推进污染防治和生态修复，PM</w:t>
      </w:r>
      <w:r>
        <w:rPr>
          <w:rFonts w:hint="default" w:ascii="Times New Roman" w:hAnsi="Times New Roman" w:eastAsia="仿宋_GB2312" w:cs="Times New Roman"/>
          <w:color w:val="000000"/>
          <w:kern w:val="0"/>
          <w:sz w:val="32"/>
          <w:szCs w:val="32"/>
          <w:vertAlign w:val="subscript"/>
        </w:rPr>
        <w:t>2.5</w:t>
      </w:r>
      <w:r>
        <w:rPr>
          <w:rFonts w:hint="default" w:ascii="Times New Roman" w:hAnsi="Times New Roman" w:eastAsia="仿宋_GB2312" w:cs="Times New Roman"/>
          <w:color w:val="000000"/>
          <w:kern w:val="0"/>
          <w:sz w:val="32"/>
          <w:szCs w:val="32"/>
        </w:rPr>
        <w:t>平均浓度持续下降，重污染天气显著减少，全县空气质量综合指数连续5年位居全市前3。扎实落实</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河长制</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林长制</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累计实施了河渠坑塘治理、供水管网改造、防洪安全建设、排水沟渠治理等总投资9.7亿元的35个水利项目，完成造林1万余亩、防沙治沙2600亩，3条市考河流断面水质稳定达标，老漳河巨鹿段、商店渠获评省五星级</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幸福河湖</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，获评全国节水型社会建设达标县、河北省森林城市。</w:t>
      </w:r>
      <w:r>
        <w:rPr>
          <w:rFonts w:hint="default" w:ascii="Times New Roman" w:hAnsi="Times New Roman" w:eastAsia="仿宋_GB2312" w:cs="Times New Roman"/>
          <w:bCs/>
          <w:color w:val="000000"/>
          <w:kern w:val="0"/>
          <w:sz w:val="32"/>
          <w:szCs w:val="32"/>
        </w:rPr>
        <w:t>农村地区清洁取暖降碳产品项目在省环境能源交易所挂牌交易，实现二氧化碳减排量33738吨，为全国首例。</w:t>
      </w:r>
    </w:p>
    <w:p w14:paraId="5782B9CB">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kern w:val="0"/>
          <w:sz w:val="32"/>
          <w:szCs w:val="32"/>
        </w:rPr>
        <w:t>——民生事业取得长足进步。</w:t>
      </w:r>
      <w:r>
        <w:rPr>
          <w:rFonts w:hint="default" w:ascii="Times New Roman" w:hAnsi="Times New Roman" w:eastAsia="仿宋_GB2312" w:cs="Times New Roman"/>
          <w:color w:val="000000"/>
          <w:kern w:val="0"/>
          <w:sz w:val="32"/>
          <w:szCs w:val="32"/>
        </w:rPr>
        <w:t>推进民生福祉增进工程，每年开展一批民生实事，总投资9.6亿元实施了巨鹿中学新校区等42个城乡教育提升项目，新增学位2.2万个，公办义务教育占比从56%提升至95.25%，强基上线率较</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十三五</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末翻</w:t>
      </w:r>
      <w:r>
        <w:rPr>
          <w:rFonts w:hint="default" w:ascii="Times New Roman" w:hAnsi="Times New Roman" w:eastAsia="仿宋_GB2312" w:cs="Times New Roman"/>
          <w:color w:val="000000"/>
          <w:sz w:val="32"/>
          <w:szCs w:val="32"/>
        </w:rPr>
        <w:t>两番</w:t>
      </w:r>
      <w:r>
        <w:rPr>
          <w:rFonts w:hint="default" w:ascii="Times New Roman" w:hAnsi="Times New Roman" w:eastAsia="仿宋_GB2312" w:cs="Times New Roman"/>
          <w:color w:val="000000"/>
          <w:kern w:val="0"/>
          <w:sz w:val="32"/>
          <w:szCs w:val="32"/>
        </w:rPr>
        <w:t>。总投资10亿元，实施了县医院门诊医技综合楼、县妇幼院发热门诊、县妇幼院附属工程、县中医院发热门诊、小吕寨中心卫生院医养护理型养老服务设施、健康养老综合服务指导中心等12个医疗养老项目，探索的</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医养险</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三位一体改革入选全国典型案例，获评首批全国医养结</w:t>
      </w:r>
      <w:r>
        <w:rPr>
          <w:rFonts w:hint="default" w:ascii="Times New Roman" w:hAnsi="Times New Roman" w:eastAsia="仿宋_GB2312" w:cs="Times New Roman"/>
          <w:color w:val="000000"/>
          <w:sz w:val="32"/>
          <w:szCs w:val="32"/>
        </w:rPr>
        <w:t>合示范县、紧密型县域医共体建设省级示范县、全省医改工作先进县，京津冀残疾儿童康复协作现场推进会、全省紧密型县域医共体建设工作推进会在巨鹿召开。创新搭建了零工市场就业服务体系，</w:t>
      </w:r>
      <w:r>
        <w:rPr>
          <w:rFonts w:hint="default" w:ascii="Times New Roman" w:hAnsi="Times New Roman" w:eastAsia="仿宋_GB2312" w:cs="Times New Roman"/>
          <w:color w:val="000000"/>
          <w:sz w:val="32"/>
          <w:szCs w:val="32"/>
          <w:lang w:val="en"/>
        </w:rPr>
        <w:t>城乡就业创业服务入选全国典型案例，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巨鹿金银花产业人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获评全国脱贫地区特色劳务品牌，</w:t>
      </w:r>
      <w:r>
        <w:rPr>
          <w:rFonts w:hint="default" w:ascii="Times New Roman" w:hAnsi="Times New Roman" w:eastAsia="仿宋_GB2312" w:cs="Times New Roman"/>
          <w:color w:val="000000"/>
          <w:sz w:val="32"/>
          <w:szCs w:val="32"/>
          <w:lang w:val="en"/>
        </w:rPr>
        <w:t>获评</w:t>
      </w:r>
      <w:r>
        <w:rPr>
          <w:rFonts w:hint="default" w:ascii="Times New Roman" w:hAnsi="Times New Roman" w:eastAsia="仿宋_GB2312" w:cs="Times New Roman"/>
          <w:color w:val="000000"/>
          <w:sz w:val="32"/>
          <w:szCs w:val="32"/>
        </w:rPr>
        <w:t>全省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零</w:t>
      </w:r>
      <w:r>
        <w:rPr>
          <w:rFonts w:hint="default" w:ascii="Times New Roman" w:hAnsi="Times New Roman" w:eastAsia="仿宋_GB2312" w:cs="Times New Roman"/>
          <w:color w:val="000000"/>
          <w:sz w:val="32"/>
          <w:szCs w:val="32"/>
          <w:lang w:val="en"/>
        </w:rPr>
        <w:t>工宝</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
        </w:rPr>
        <w:t>试点县</w:t>
      </w:r>
      <w:r>
        <w:rPr>
          <w:rFonts w:hint="default" w:ascii="Times New Roman" w:hAnsi="Times New Roman" w:eastAsia="仿宋_GB2312" w:cs="Times New Roman"/>
          <w:color w:val="000000"/>
          <w:sz w:val="32"/>
          <w:szCs w:val="32"/>
        </w:rPr>
        <w:t>。同时，有力有效应对了</w:t>
      </w:r>
      <w:r>
        <w:rPr>
          <w:rFonts w:hint="default" w:ascii="Times New Roman" w:hAnsi="Times New Roman" w:eastAsia="仿宋_GB2312" w:cs="Times New Roman"/>
          <w:color w:val="000000"/>
          <w:kern w:val="0"/>
          <w:sz w:val="32"/>
          <w:szCs w:val="32"/>
        </w:rPr>
        <w:t>疫情、汛情等重大考验，深入推进各领域安全隐患排查整治和风险防范化解，社会大局保持安全稳定，县委政法委获评</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平安中国建设先进集体</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sz w:val="32"/>
          <w:szCs w:val="32"/>
        </w:rPr>
        <w:t>。</w:t>
      </w:r>
    </w:p>
    <w:p w14:paraId="5C80734D">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——党的建设成效显著。</w:t>
      </w:r>
      <w:r>
        <w:rPr>
          <w:rFonts w:hint="default" w:ascii="Times New Roman" w:hAnsi="Times New Roman" w:eastAsia="仿宋_GB2312" w:cs="Times New Roman"/>
          <w:color w:val="000000"/>
          <w:sz w:val="32"/>
          <w:szCs w:val="32"/>
        </w:rPr>
        <w:t>始终坚持党的全面领导，充分发挥党在各项工作中总揽全局、协调各方的领导核心作用，持续加强领导班子建设，班子运行坚强有力、成效显著，县委、</w:t>
      </w:r>
      <w:r>
        <w:rPr>
          <w:rFonts w:hint="eastAsia" w:eastAsia="仿宋_GB2312" w:cs="Times New Roman"/>
          <w:color w:val="000000"/>
          <w:sz w:val="32"/>
          <w:szCs w:val="32"/>
          <w:lang w:eastAsia="zh-CN"/>
        </w:rPr>
        <w:t>县人民政府</w:t>
      </w:r>
      <w:r>
        <w:rPr>
          <w:rFonts w:hint="default" w:ascii="Times New Roman" w:hAnsi="Times New Roman" w:eastAsia="仿宋_GB2312" w:cs="Times New Roman"/>
          <w:color w:val="000000"/>
          <w:sz w:val="32"/>
          <w:szCs w:val="32"/>
        </w:rPr>
        <w:t>荣获全市重大立功</w:t>
      </w:r>
      <w:r>
        <w:rPr>
          <w:rFonts w:hint="default" w:ascii="Times New Roman" w:hAnsi="Times New Roman" w:eastAsia="仿宋_GB2312" w:cs="Times New Roman"/>
          <w:color w:val="000000"/>
          <w:kern w:val="0"/>
          <w:sz w:val="32"/>
          <w:szCs w:val="32"/>
        </w:rPr>
        <w:t>集体，获评全市优秀领导班子。扎实开展学习教育、主题教育，依托</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四统一七结合</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常态长效落实好基层党组织组织生活制度，推进农村档案管理</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三化一集中</w:t>
      </w:r>
      <w:r>
        <w:rPr>
          <w:rFonts w:hint="eastAsia"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，成功承办全省农村党员档案县级集中管理工作现场会。</w:t>
      </w:r>
      <w:r>
        <w:rPr>
          <w:rFonts w:hint="default" w:ascii="Times New Roman" w:hAnsi="Times New Roman" w:eastAsia="仿宋_GB2312" w:cs="Times New Roman"/>
          <w:color w:val="000000"/>
          <w:sz w:val="32"/>
          <w:szCs w:val="32"/>
        </w:rPr>
        <w:t>坚定不移推进全面从严治党，严格落实中央八项规定及其实施细则精神，持续深化纠治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，清风正气成为新常态。</w:t>
      </w:r>
    </w:p>
    <w:p w14:paraId="568F31E9">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与此同时，国防动员、双拥共建、民族宗教、新闻出版、广播电视、外事侨务、人民防空、气象地震、志愿服务等工作取得新成效，工会、妇女儿童、青少年、老龄、残疾人、红十字等事业取得新进步。</w:t>
      </w:r>
    </w:p>
    <w:p w14:paraId="3F3F705E">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rPr>
        <w:t>五年来，巨鹿县各项工作连年进步，经济运行更加稳健，特色产业更有活力，人居环境更有品质，生态环境更加优美，民生保障更加有力，政治生态更加清朗。这些</w:t>
      </w:r>
      <w:r>
        <w:rPr>
          <w:rFonts w:hint="default" w:ascii="Times New Roman" w:hAnsi="Times New Roman" w:eastAsia="仿宋_GB2312" w:cs="Times New Roman"/>
          <w:color w:val="000000"/>
          <w:sz w:val="32"/>
          <w:szCs w:val="32"/>
        </w:rPr>
        <w:t>成绩的取得，根本在于以习近平同志为核心的党中央领航掌舵，得益于省委、市委的坚强领导，归功于全县上下的团结一心、拼搏奋斗。我们必须在习近平新时代中国特色社会主义思想的科学指引下，解放思想、奋发进取，加快开创高质量发展新局面。</w:t>
      </w:r>
    </w:p>
    <w:p w14:paraId="4D4A5287">
      <w:pPr>
        <w:keepNext w:val="0"/>
        <w:keepLines w:val="0"/>
        <w:pageBreakBefore w:val="0"/>
        <w:widowControl w:val="0"/>
        <w:kinsoku/>
        <w:wordWrap/>
        <w:overflowPunct w:val="0"/>
        <w:topLinePunct w:val="0"/>
        <w:autoSpaceDE w:val="0"/>
        <w:autoSpaceDN w:val="0"/>
        <w:bidi w:val="0"/>
        <w:snapToGrid/>
        <w:spacing w:line="570" w:lineRule="exact"/>
        <w:ind w:left="0" w:leftChars="0"/>
        <w:contextualSpacing/>
        <w:jc w:val="center"/>
        <w:textAlignment w:val="auto"/>
        <w:outlineLvl w:val="1"/>
        <w:rPr>
          <w:rFonts w:hint="default" w:ascii="Times New Roman" w:hAnsi="Times New Roman" w:eastAsia="楷体" w:cs="Times New Roman"/>
          <w:b/>
          <w:color w:val="000000"/>
          <w:sz w:val="32"/>
          <w:szCs w:val="28"/>
        </w:rPr>
      </w:pPr>
      <w:bookmarkStart w:id="17" w:name="_Toc10689"/>
      <w:bookmarkStart w:id="18" w:name="_Toc32537"/>
      <w:r>
        <w:rPr>
          <w:rFonts w:hint="default" w:ascii="Times New Roman" w:hAnsi="Times New Roman" w:eastAsia="楷体" w:cs="Times New Roman"/>
          <w:b/>
          <w:color w:val="000000"/>
          <w:sz w:val="32"/>
          <w:szCs w:val="28"/>
        </w:rPr>
        <w:t xml:space="preserve">第二节 </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十五五</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时期巨鹿发展面临的新机遇新挑战</w:t>
      </w:r>
      <w:bookmarkEnd w:id="17"/>
      <w:bookmarkEnd w:id="18"/>
    </w:p>
    <w:p w14:paraId="0A003DF9">
      <w:pPr>
        <w:pStyle w:val="16"/>
        <w:keepNext w:val="0"/>
        <w:keepLines w:val="0"/>
        <w:pageBreakBefore w:val="0"/>
        <w:widowControl w:val="0"/>
        <w:kinsoku/>
        <w:wordWrap/>
        <w:overflowPunct w:val="0"/>
        <w:topLinePunct w:val="0"/>
        <w:autoSpaceDE w:val="0"/>
        <w:autoSpaceDN w:val="0"/>
        <w:bidi w:val="0"/>
        <w:adjustRightInd w:val="0"/>
        <w:snapToGrid/>
        <w:spacing w:before="0" w:beforeAutospacing="0" w:after="0" w:afterAutospacing="0" w:line="570" w:lineRule="exact"/>
        <w:ind w:left="0" w:leftChars="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color w:val="000000"/>
          <w:kern w:val="2"/>
          <w:sz w:val="32"/>
          <w:szCs w:val="28"/>
        </w:rPr>
        <w:t>从国际看，</w:t>
      </w:r>
      <w:r>
        <w:rPr>
          <w:rFonts w:hint="default" w:ascii="Times New Roman" w:hAnsi="Times New Roman" w:eastAsia="仿宋_GB2312" w:cs="Times New Roman"/>
          <w:color w:val="000000"/>
          <w:sz w:val="32"/>
          <w:szCs w:val="32"/>
        </w:rPr>
        <w:t>世界百年变局加速演进，全球政治经济格局深刻调整，新一轮科技革命和产业变革加速推进，地缘政治冲突和安全风险增多，外部环境不稳定性上升。</w:t>
      </w:r>
      <w:r>
        <w:rPr>
          <w:rFonts w:hint="default" w:ascii="Times New Roman" w:hAnsi="Times New Roman" w:eastAsia="楷体" w:cs="Times New Roman"/>
          <w:b/>
          <w:color w:val="000000"/>
          <w:kern w:val="2"/>
          <w:sz w:val="32"/>
          <w:szCs w:val="28"/>
        </w:rPr>
        <w:t>从国内看，</w:t>
      </w:r>
      <w:r>
        <w:rPr>
          <w:rFonts w:hint="default" w:ascii="Times New Roman" w:hAnsi="Times New Roman" w:eastAsia="仿宋_GB2312" w:cs="Times New Roman"/>
          <w:color w:val="000000"/>
          <w:sz w:val="32"/>
          <w:szCs w:val="32"/>
        </w:rPr>
        <w:t>我国经济基础稳、优势多、韧性强、潜能大，长期向好的支撑条件和基本趋势没有变，中国特色社会主义制度优势、超大规模市场优势、完整产业体系优势、丰富人才资源优势更加彰显，积极财政政策、适度宽松货币政策、</w:t>
      </w:r>
      <w:r>
        <w:rPr>
          <w:rFonts w:hint="eastAsia" w:asci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两重</w:t>
      </w:r>
      <w:r>
        <w:rPr>
          <w:rFonts w:hint="eastAsia" w:asci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两新</w:t>
      </w:r>
      <w:r>
        <w:rPr>
          <w:rFonts w:hint="eastAsia" w:asci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支持政策以及商务金融协同促消费政策持续集成发力，发展具有多方面的有利条件。</w:t>
      </w:r>
      <w:r>
        <w:rPr>
          <w:rFonts w:hint="default" w:ascii="Times New Roman" w:hAnsi="Times New Roman" w:eastAsia="楷体" w:cs="Times New Roman"/>
          <w:b/>
          <w:color w:val="000000"/>
          <w:kern w:val="2"/>
          <w:sz w:val="32"/>
          <w:szCs w:val="28"/>
        </w:rPr>
        <w:t>从省内看，</w:t>
      </w:r>
      <w:r>
        <w:rPr>
          <w:rFonts w:hint="default" w:ascii="Times New Roman" w:hAnsi="Times New Roman" w:eastAsia="仿宋_GB2312" w:cs="Times New Roman"/>
          <w:color w:val="000000"/>
          <w:sz w:val="32"/>
          <w:szCs w:val="32"/>
        </w:rPr>
        <w:t>京津冀协同发展和雄安新区建设两大国家战略辐射力持续拓展增强，京津科技、产业、人才、金融等系列资源加速疏解转移。共享赋能、数转智改激发产业活力，为做强特色产业集群、壮大县域经济提供了有力支撑。石家庄都市圈获批建设，将进一步释放投资消费潜能，经济稳中向好具有较强支撑。</w:t>
      </w:r>
      <w:r>
        <w:rPr>
          <w:rFonts w:hint="default" w:ascii="Times New Roman" w:hAnsi="Times New Roman" w:eastAsia="楷体" w:cs="Times New Roman"/>
          <w:b/>
          <w:color w:val="000000"/>
          <w:kern w:val="2"/>
          <w:sz w:val="32"/>
          <w:szCs w:val="28"/>
        </w:rPr>
        <w:t>从县内看，</w:t>
      </w:r>
      <w:r>
        <w:rPr>
          <w:rFonts w:hint="default" w:ascii="Times New Roman" w:hAnsi="Times New Roman" w:eastAsia="仿宋_GB2312" w:cs="Times New Roman"/>
          <w:color w:val="000000"/>
          <w:sz w:val="32"/>
          <w:szCs w:val="32"/>
        </w:rPr>
        <w:t>随着邢衡高速滏阳站建成通车、京武高速建设启动，交通物流优势逐渐凸显，国家外汇管理局、阿里巴巴驻县帮扶效能不断深化，双轮驱动产业动能快速壮大，改革创新活力持续迸发，</w:t>
      </w:r>
      <w:r>
        <w:rPr>
          <w:rFonts w:hint="eastAsia" w:asci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拼闯争抢</w:t>
      </w:r>
      <w:r>
        <w:rPr>
          <w:rFonts w:hint="eastAsia" w:asci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实干氛围更加浓厚，为加快巨鹿高质量发展步伐积蓄了强大势能。同时也要看到，巨鹿县特色产业发展、历史文化资源等方面依然蕴藏着巨大发展空间，但把潜在优势转化为竞争优势做得还不够。立县型大项目、带动型大企业少，创新能力依然不强，特色产业集群总体</w:t>
      </w:r>
      <w:r>
        <w:rPr>
          <w:rFonts w:hint="eastAsia" w:asci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小散低</w:t>
      </w:r>
      <w:r>
        <w:rPr>
          <w:rFonts w:hint="eastAsia" w:asci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、新能源产业支撑力偏弱、高能级产业平台不足，产业提档升级任务依然紧迫。城乡基础设施、公共服务仍有短板，资金投入和治理能力仍有不足。污染防治、安全监管和各领域风险防范压力依然较大。</w:t>
      </w:r>
    </w:p>
    <w:p w14:paraId="29E1547B">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bidi="ar"/>
        </w:rPr>
        <w:t>十五五</w:t>
      </w:r>
      <w:r>
        <w:rPr>
          <w:rFonts w:hint="eastAsia"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bidi="ar"/>
        </w:rPr>
        <w:t>时期是基本实现社会主义现代化夯实基础、全面发力的关键时期，也是巨鹿扬长补短、乘势而上、全面提升的关键五年。全县上下必须坚定拥</w:t>
      </w:r>
      <w:r>
        <w:rPr>
          <w:rFonts w:hint="default" w:ascii="Times New Roman" w:hAnsi="Times New Roman" w:eastAsia="仿宋_GB2312" w:cs="Times New Roman"/>
          <w:color w:val="000000"/>
          <w:sz w:val="32"/>
          <w:szCs w:val="32"/>
        </w:rPr>
        <w:t>护</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两个确立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，坚决做到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两个维护</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，深刻认识新发展阶段带来的新方位新要求，深刻认识错综复杂的发展环境带来的新机遇新挑战，保持战略定力、增强必胜信心，全力以赴补短板、强弱项、夯基础、扬优势，不断开创高质量发展新局面。</w:t>
      </w:r>
    </w:p>
    <w:p w14:paraId="588E01D6">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jc w:val="center"/>
        <w:textAlignment w:val="auto"/>
        <w:rPr>
          <w:rFonts w:hint="default" w:ascii="Times New Roman" w:hAnsi="Times New Roman" w:eastAsia="黑体" w:cs="Times New Roman"/>
          <w:bCs/>
          <w:color w:val="000000"/>
          <w:spacing w:val="-6"/>
          <w:sz w:val="32"/>
          <w:szCs w:val="28"/>
        </w:rPr>
      </w:pPr>
      <w:r>
        <w:rPr>
          <w:rFonts w:hint="default" w:ascii="Times New Roman" w:hAnsi="Times New Roman" w:eastAsia="仿宋_GB2312" w:cs="Times New Roman"/>
          <w:color w:val="000000"/>
          <w:sz w:val="32"/>
          <w:szCs w:val="32"/>
        </w:rPr>
        <w:br w:type="page"/>
      </w:r>
      <w:bookmarkStart w:id="19" w:name="_Toc27545"/>
      <w:bookmarkStart w:id="20" w:name="_Toc21974"/>
      <w:r>
        <w:rPr>
          <w:rFonts w:hint="default" w:ascii="Times New Roman" w:hAnsi="Times New Roman" w:eastAsia="黑体" w:cs="Times New Roman"/>
          <w:bCs/>
          <w:color w:val="000000"/>
          <w:spacing w:val="-6"/>
          <w:sz w:val="32"/>
          <w:szCs w:val="28"/>
        </w:rPr>
        <w:t>第二章</w:t>
      </w:r>
      <w:r>
        <w:rPr>
          <w:rFonts w:hint="default" w:ascii="Times New Roman" w:hAnsi="Times New Roman" w:eastAsia="黑体" w:cs="Times New Roman"/>
          <w:bCs/>
          <w:color w:val="000000"/>
          <w:spacing w:val="-6"/>
          <w:sz w:val="32"/>
          <w:szCs w:val="28"/>
          <w:lang w:val="en-US" w:eastAsia="zh-CN"/>
        </w:rPr>
        <w:t xml:space="preserve">  </w:t>
      </w:r>
      <w:r>
        <w:rPr>
          <w:rFonts w:hint="eastAsia" w:ascii="Times New Roman" w:hAnsi="Times New Roman" w:eastAsia="黑体" w:cs="Times New Roman"/>
          <w:bCs/>
          <w:color w:val="000000"/>
          <w:spacing w:val="-6"/>
          <w:sz w:val="32"/>
          <w:szCs w:val="28"/>
          <w:lang w:eastAsia="zh-CN"/>
        </w:rPr>
        <w:t>“</w:t>
      </w:r>
      <w:r>
        <w:rPr>
          <w:rFonts w:hint="default" w:ascii="Times New Roman" w:hAnsi="Times New Roman" w:eastAsia="黑体" w:cs="Times New Roman"/>
          <w:bCs/>
          <w:color w:val="000000"/>
          <w:spacing w:val="-6"/>
          <w:sz w:val="32"/>
          <w:szCs w:val="28"/>
        </w:rPr>
        <w:t>十五五</w:t>
      </w:r>
      <w:r>
        <w:rPr>
          <w:rFonts w:hint="eastAsia" w:ascii="Times New Roman" w:hAnsi="Times New Roman" w:eastAsia="黑体" w:cs="Times New Roman"/>
          <w:bCs/>
          <w:color w:val="000000"/>
          <w:spacing w:val="-6"/>
          <w:sz w:val="32"/>
          <w:szCs w:val="28"/>
          <w:lang w:eastAsia="zh-CN"/>
        </w:rPr>
        <w:t>”</w:t>
      </w:r>
      <w:r>
        <w:rPr>
          <w:rFonts w:hint="default" w:ascii="Times New Roman" w:hAnsi="Times New Roman" w:eastAsia="黑体" w:cs="Times New Roman"/>
          <w:bCs/>
          <w:color w:val="000000"/>
          <w:spacing w:val="-6"/>
          <w:sz w:val="32"/>
          <w:szCs w:val="28"/>
        </w:rPr>
        <w:t>时期经济社会发展的指导思想和主要目标</w:t>
      </w:r>
      <w:bookmarkEnd w:id="19"/>
      <w:bookmarkEnd w:id="20"/>
    </w:p>
    <w:p w14:paraId="41CEFA6C">
      <w:pPr>
        <w:keepNext w:val="0"/>
        <w:keepLines w:val="0"/>
        <w:pageBreakBefore w:val="0"/>
        <w:widowControl w:val="0"/>
        <w:kinsoku/>
        <w:wordWrap/>
        <w:overflowPunct w:val="0"/>
        <w:topLinePunct w:val="0"/>
        <w:autoSpaceDE w:val="0"/>
        <w:autoSpaceDN w:val="0"/>
        <w:bidi w:val="0"/>
        <w:snapToGrid/>
        <w:spacing w:line="570" w:lineRule="exact"/>
        <w:ind w:left="0" w:leftChars="0"/>
        <w:contextualSpacing/>
        <w:jc w:val="center"/>
        <w:textAlignment w:val="auto"/>
        <w:outlineLvl w:val="1"/>
        <w:rPr>
          <w:rFonts w:hint="default" w:ascii="Times New Roman" w:hAnsi="Times New Roman" w:eastAsia="楷体" w:cs="Times New Roman"/>
          <w:b/>
          <w:color w:val="000000"/>
          <w:sz w:val="32"/>
          <w:szCs w:val="28"/>
        </w:rPr>
      </w:pPr>
      <w:bookmarkStart w:id="21" w:name="_Toc18517"/>
      <w:bookmarkStart w:id="22" w:name="_Toc8439"/>
      <w:r>
        <w:rPr>
          <w:rFonts w:hint="default" w:ascii="Times New Roman" w:hAnsi="Times New Roman" w:eastAsia="楷体" w:cs="Times New Roman"/>
          <w:b/>
          <w:color w:val="000000"/>
          <w:sz w:val="32"/>
          <w:szCs w:val="28"/>
        </w:rPr>
        <w:t xml:space="preserve">第一节 </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十五五</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时期全县经济社会发展的指导思想</w:t>
      </w:r>
      <w:bookmarkEnd w:id="21"/>
      <w:bookmarkEnd w:id="22"/>
    </w:p>
    <w:p w14:paraId="5ECE8421">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坚持马克思列宁主义、毛泽东思想、邓小平理论、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三个代表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重要思想、科学发展观，全面贯彻习近平新时代中国特色社会主义思想，深入贯彻党的二十大和二十届历次全会精神，全面学习贯彻习近平总书记视察河北重要讲话精神，深入落实省委和市委工作要求，完整准确全面贯彻新发展理念，积极融入和服务新发展格局，坚持稳中求进工作总基调，以经济建设为中心，以推动高质量发展为主题，以改革创新为根本动力，以满足人民日益增长的美好生活需要为根本目的，以全面从严治党为根本保障，持之以恒解放思想、奋发进取，坚定不移推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工业立县、产业强县、文化兴县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的发展思路，因地制宜发展新质生产力，推动经济实现质的有效提升和量的合理增长，推动人的全面发展、全体人民共同富裕迈出坚实步伐，加快建设</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经济强县、美丽巨鹿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，奋力谱写中国式现代化建设河北篇章的巨鹿实践。</w:t>
      </w:r>
    </w:p>
    <w:p w14:paraId="000CD56B">
      <w:pPr>
        <w:keepNext w:val="0"/>
        <w:keepLines w:val="0"/>
        <w:pageBreakBefore w:val="0"/>
        <w:widowControl w:val="0"/>
        <w:kinsoku/>
        <w:wordWrap/>
        <w:overflowPunct w:val="0"/>
        <w:topLinePunct w:val="0"/>
        <w:autoSpaceDE w:val="0"/>
        <w:autoSpaceDN w:val="0"/>
        <w:bidi w:val="0"/>
        <w:snapToGrid/>
        <w:spacing w:line="570" w:lineRule="exact"/>
        <w:ind w:left="0" w:leftChars="0"/>
        <w:contextualSpacing/>
        <w:jc w:val="center"/>
        <w:textAlignment w:val="auto"/>
        <w:outlineLvl w:val="1"/>
        <w:rPr>
          <w:rFonts w:hint="default" w:ascii="Times New Roman" w:hAnsi="Times New Roman" w:eastAsia="楷体" w:cs="Times New Roman"/>
          <w:b/>
          <w:color w:val="000000"/>
          <w:sz w:val="32"/>
          <w:szCs w:val="28"/>
        </w:rPr>
      </w:pPr>
      <w:bookmarkStart w:id="23" w:name="_Toc9762"/>
      <w:bookmarkStart w:id="24" w:name="_Toc15642"/>
      <w:r>
        <w:rPr>
          <w:rFonts w:hint="default" w:ascii="Times New Roman" w:hAnsi="Times New Roman" w:eastAsia="楷体" w:cs="Times New Roman"/>
          <w:b/>
          <w:color w:val="000000"/>
          <w:sz w:val="32"/>
          <w:szCs w:val="28"/>
        </w:rPr>
        <w:t xml:space="preserve">第二节 </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十五五</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时期经济社会发展必须遵循的原则</w:t>
      </w:r>
      <w:bookmarkEnd w:id="23"/>
      <w:bookmarkEnd w:id="24"/>
    </w:p>
    <w:p w14:paraId="05934E56">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——坚持党的全面领导。</w:t>
      </w:r>
      <w:r>
        <w:rPr>
          <w:rFonts w:hint="default" w:ascii="Times New Roman" w:hAnsi="Times New Roman" w:eastAsia="仿宋_GB2312" w:cs="Times New Roman"/>
          <w:color w:val="000000"/>
          <w:sz w:val="32"/>
          <w:szCs w:val="32"/>
          <w:lang w:val="en"/>
        </w:rPr>
        <w:t>坚决维护习近平总书记党中央的核心、全党的核心地位，坚决维护党中央权威和集中统一领导，始终把党的领导贯穿经济社会发展各方面全过程，为社会主义现代化建设提供根本保证。</w:t>
      </w:r>
    </w:p>
    <w:p w14:paraId="50D21D3A">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——坚持人民至上。</w:t>
      </w:r>
      <w:r>
        <w:rPr>
          <w:rFonts w:hint="default" w:ascii="Times New Roman" w:hAnsi="Times New Roman" w:eastAsia="仿宋_GB2312" w:cs="Times New Roman"/>
          <w:color w:val="000000"/>
          <w:sz w:val="32"/>
          <w:szCs w:val="32"/>
          <w:lang w:val="en"/>
        </w:rPr>
        <w:t>尊重人民主体地位，维护人民根本利益，注重在发展中保障和改善民生，着力解决好群众急难愁盼，更好满足群众对美好生活的需求，让现代化建设成果更多更公平惠及全县人民。</w:t>
      </w:r>
    </w:p>
    <w:p w14:paraId="72BE67C5">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——坚持高质量发展。</w:t>
      </w:r>
      <w:r>
        <w:rPr>
          <w:rFonts w:hint="default" w:ascii="Times New Roman" w:hAnsi="Times New Roman" w:eastAsia="仿宋_GB2312" w:cs="Times New Roman"/>
          <w:color w:val="000000"/>
          <w:sz w:val="32"/>
          <w:szCs w:val="32"/>
          <w:lang w:val="en"/>
        </w:rPr>
        <w:t>以新发展理念引领发展，着力提升投资质效，大力提振消费活力，加快做大做强特色产业集群，因地制宜发展新质生产力，着力做强现代化产业支撑，推动经济持续健康发展和社会全面进步。</w:t>
      </w:r>
    </w:p>
    <w:p w14:paraId="47E636A7">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——坚持全面深化改革。</w:t>
      </w:r>
      <w:r>
        <w:rPr>
          <w:rFonts w:hint="default" w:ascii="Times New Roman" w:hAnsi="Times New Roman" w:eastAsia="仿宋_GB2312" w:cs="Times New Roman"/>
          <w:color w:val="000000"/>
          <w:sz w:val="32"/>
          <w:szCs w:val="32"/>
          <w:lang w:val="en"/>
        </w:rPr>
        <w:t>推进深层次改革，扩大高水平开放，以经济体制改革为牵引，积极探索推进各领域改革，着力破除制约高质量发展、高水平开放、高品质生活、高效能治理的体制机制障碍，持续增强发展动力和社会活力。</w:t>
      </w:r>
    </w:p>
    <w:p w14:paraId="5F40A039">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——坚持有效市场和有为政府相结合。</w:t>
      </w:r>
      <w:r>
        <w:rPr>
          <w:rFonts w:hint="default" w:ascii="Times New Roman" w:hAnsi="Times New Roman" w:eastAsia="仿宋_GB2312" w:cs="Times New Roman"/>
          <w:color w:val="000000"/>
          <w:sz w:val="32"/>
          <w:szCs w:val="32"/>
          <w:lang w:val="en"/>
        </w:rPr>
        <w:t>强化市场导向、尊重市场规律，更好发挥政府作用，积极融入全国统一大市场建设，建设法治经济、信用经济，持续优化营商环境，进一步激发各类经营主体活力，提高政府治理能力和服务水平，形成既</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放得活</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又</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管得好</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的经济秩序。</w:t>
      </w:r>
    </w:p>
    <w:p w14:paraId="03F4349C">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——坚持统筹发展和安全。</w:t>
      </w:r>
      <w:r>
        <w:rPr>
          <w:rFonts w:hint="default" w:ascii="Times New Roman" w:hAnsi="Times New Roman" w:eastAsia="仿宋_GB2312" w:cs="Times New Roman"/>
          <w:color w:val="000000"/>
          <w:sz w:val="32"/>
          <w:szCs w:val="32"/>
          <w:lang w:val="en"/>
        </w:rPr>
        <w:t>在发展中固安全、在安全中谋发展，强化底线思维，健全安全监管、应急处置机制，提高社会治理能力和水平，有效防范化解各类风险，实现高质量发展和高水平安全良性互动，以新安全格局保障新发展格局。</w:t>
      </w:r>
    </w:p>
    <w:p w14:paraId="17DBF994">
      <w:pPr>
        <w:keepNext w:val="0"/>
        <w:keepLines w:val="0"/>
        <w:pageBreakBefore w:val="0"/>
        <w:widowControl w:val="0"/>
        <w:kinsoku/>
        <w:wordWrap/>
        <w:overflowPunct w:val="0"/>
        <w:topLinePunct w:val="0"/>
        <w:autoSpaceDE w:val="0"/>
        <w:autoSpaceDN w:val="0"/>
        <w:bidi w:val="0"/>
        <w:snapToGrid/>
        <w:spacing w:line="570" w:lineRule="exact"/>
        <w:ind w:left="0" w:leftChars="0"/>
        <w:contextualSpacing/>
        <w:jc w:val="center"/>
        <w:textAlignment w:val="auto"/>
        <w:outlineLvl w:val="1"/>
        <w:rPr>
          <w:rFonts w:hint="default" w:ascii="Times New Roman" w:hAnsi="Times New Roman" w:eastAsia="楷体" w:cs="Times New Roman"/>
          <w:b/>
          <w:color w:val="000000"/>
          <w:sz w:val="32"/>
          <w:szCs w:val="28"/>
        </w:rPr>
      </w:pPr>
      <w:bookmarkStart w:id="25" w:name="_Toc27948"/>
      <w:bookmarkStart w:id="26" w:name="_Toc9920"/>
      <w:bookmarkStart w:id="27" w:name="_Toc24718"/>
      <w:r>
        <w:rPr>
          <w:rFonts w:hint="default" w:ascii="Times New Roman" w:hAnsi="Times New Roman" w:eastAsia="楷体" w:cs="Times New Roman"/>
          <w:b/>
          <w:color w:val="000000"/>
          <w:sz w:val="32"/>
          <w:szCs w:val="28"/>
        </w:rPr>
        <w:t>第三节  发展定位与总体目标</w:t>
      </w:r>
      <w:bookmarkEnd w:id="25"/>
      <w:bookmarkEnd w:id="26"/>
      <w:bookmarkEnd w:id="27"/>
    </w:p>
    <w:p w14:paraId="38559A91">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w:t>
      </w:r>
      <w:r>
        <w:rPr>
          <w:rFonts w:hint="eastAsia" w:ascii="仿宋_GB2312" w:hAnsi="仿宋_GB2312" w:eastAsia="仿宋_GB2312" w:cs="仿宋_GB2312"/>
          <w:b/>
          <w:color w:val="000000"/>
          <w:sz w:val="32"/>
          <w:szCs w:val="32"/>
          <w:lang w:eastAsia="zh-CN"/>
        </w:rPr>
        <w:t>“</w:t>
      </w:r>
      <w:r>
        <w:rPr>
          <w:rFonts w:hint="eastAsia" w:ascii="仿宋_GB2312" w:hAnsi="仿宋_GB2312" w:eastAsia="仿宋_GB2312" w:cs="仿宋_GB2312"/>
          <w:b/>
          <w:color w:val="000000"/>
          <w:sz w:val="32"/>
          <w:szCs w:val="32"/>
        </w:rPr>
        <w:t>十五五</w:t>
      </w:r>
      <w:r>
        <w:rPr>
          <w:rFonts w:hint="eastAsia" w:ascii="仿宋_GB2312" w:hAnsi="仿宋_GB2312" w:eastAsia="仿宋_GB2312" w:cs="仿宋_GB2312"/>
          <w:b/>
          <w:color w:val="000000"/>
          <w:sz w:val="32"/>
          <w:szCs w:val="32"/>
          <w:lang w:eastAsia="zh-CN"/>
        </w:rPr>
        <w:t>”</w:t>
      </w:r>
      <w:r>
        <w:rPr>
          <w:rFonts w:hint="eastAsia" w:ascii="仿宋_GB2312" w:hAnsi="仿宋_GB2312" w:eastAsia="仿宋_GB2312" w:cs="仿宋_GB2312"/>
          <w:b/>
          <w:color w:val="000000"/>
          <w:sz w:val="32"/>
          <w:szCs w:val="32"/>
        </w:rPr>
        <w:t>时期经济社会发展定位</w:t>
      </w:r>
    </w:p>
    <w:p w14:paraId="7BF008DD">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0"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仿宋_GB2312" w:cs="Times New Roman"/>
          <w:color w:val="000000"/>
          <w:sz w:val="32"/>
          <w:szCs w:val="32"/>
        </w:rPr>
        <w:t>充分考虑全县经济社会发展实际，立足特色比较优势，坚持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跳出巨鹿看巨鹿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，力争通过五年努力，推动</w:t>
      </w:r>
      <w:r>
        <w:rPr>
          <w:rFonts w:hint="default" w:ascii="Times New Roman" w:hAnsi="Times New Roman" w:eastAsia="仿宋_GB2312" w:cs="Times New Roman"/>
          <w:color w:val="000000"/>
          <w:sz w:val="32"/>
          <w:szCs w:val="32"/>
          <w:lang w:val="en"/>
        </w:rPr>
        <w:t>高端装备关键零部件制造强县、新型能源强县、特色农业强县、金融创新强县、邢东商贸强县</w:t>
      </w:r>
      <w:r>
        <w:rPr>
          <w:rFonts w:hint="default" w:ascii="Times New Roman" w:hAnsi="Times New Roman" w:eastAsia="仿宋_GB2312" w:cs="Times New Roman"/>
          <w:color w:val="000000"/>
          <w:sz w:val="32"/>
          <w:szCs w:val="32"/>
        </w:rPr>
        <w:t>建设迈上新的大台阶，着力打造</w:t>
      </w:r>
      <w:r>
        <w:rPr>
          <w:rFonts w:hint="default" w:ascii="Times New Roman" w:hAnsi="Times New Roman" w:eastAsia="仿宋_GB2312" w:cs="Times New Roman"/>
          <w:color w:val="000000"/>
          <w:sz w:val="32"/>
          <w:szCs w:val="32"/>
          <w:lang w:val="en"/>
        </w:rPr>
        <w:t>数字治理示范县、乡村振兴示范县、医疗康养创新示范县。</w:t>
      </w:r>
    </w:p>
    <w:p w14:paraId="5BC5EC47">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仿宋_GB2312" w:hAnsi="仿宋_GB2312" w:eastAsia="仿宋_GB2312" w:cs="仿宋_GB2312"/>
          <w:b/>
          <w:color w:val="000000"/>
          <w:sz w:val="32"/>
          <w:szCs w:val="32"/>
        </w:rPr>
      </w:pPr>
      <w:r>
        <w:rPr>
          <w:rFonts w:hint="default" w:ascii="仿宋_GB2312" w:hAnsi="仿宋_GB2312" w:eastAsia="仿宋_GB2312" w:cs="仿宋_GB2312"/>
          <w:b/>
          <w:color w:val="000000"/>
          <w:sz w:val="32"/>
          <w:szCs w:val="32"/>
        </w:rPr>
        <w:t>二、</w:t>
      </w:r>
      <w:r>
        <w:rPr>
          <w:rFonts w:hint="eastAsia" w:ascii="仿宋_GB2312" w:hAnsi="仿宋_GB2312" w:eastAsia="仿宋_GB2312" w:cs="仿宋_GB2312"/>
          <w:b/>
          <w:color w:val="000000"/>
          <w:sz w:val="32"/>
          <w:szCs w:val="32"/>
          <w:lang w:eastAsia="zh-CN"/>
        </w:rPr>
        <w:t>“</w:t>
      </w:r>
      <w:r>
        <w:rPr>
          <w:rFonts w:hint="default" w:ascii="仿宋_GB2312" w:hAnsi="仿宋_GB2312" w:eastAsia="仿宋_GB2312" w:cs="仿宋_GB2312"/>
          <w:b/>
          <w:color w:val="000000"/>
          <w:sz w:val="32"/>
          <w:szCs w:val="32"/>
        </w:rPr>
        <w:t>十五五</w:t>
      </w:r>
      <w:r>
        <w:rPr>
          <w:rFonts w:hint="eastAsia" w:ascii="仿宋_GB2312" w:hAnsi="仿宋_GB2312" w:eastAsia="仿宋_GB2312" w:cs="仿宋_GB2312"/>
          <w:b/>
          <w:color w:val="000000"/>
          <w:sz w:val="32"/>
          <w:szCs w:val="32"/>
          <w:lang w:eastAsia="zh-CN"/>
        </w:rPr>
        <w:t>”</w:t>
      </w:r>
      <w:r>
        <w:rPr>
          <w:rFonts w:hint="default" w:ascii="仿宋_GB2312" w:hAnsi="仿宋_GB2312" w:eastAsia="仿宋_GB2312" w:cs="仿宋_GB2312"/>
          <w:b/>
          <w:color w:val="000000"/>
          <w:sz w:val="32"/>
          <w:szCs w:val="32"/>
        </w:rPr>
        <w:t>经济社会发展的总体目标</w:t>
      </w:r>
    </w:p>
    <w:p w14:paraId="405DA8A2">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楷体_GB2312" w:cs="Times New Roman"/>
          <w:b/>
          <w:bCs/>
          <w:color w:val="000000"/>
          <w:sz w:val="32"/>
          <w:szCs w:val="32"/>
          <w:lang w:val="en"/>
        </w:rPr>
      </w:pPr>
      <w:r>
        <w:rPr>
          <w:rFonts w:hint="default" w:ascii="Times New Roman" w:hAnsi="Times New Roman" w:eastAsia="楷体_GB2312" w:cs="Times New Roman"/>
          <w:b/>
          <w:bCs/>
          <w:color w:val="000000"/>
          <w:sz w:val="32"/>
          <w:szCs w:val="32"/>
          <w:lang w:val="en"/>
        </w:rPr>
        <w:t>——高质量发展取得显著成效。</w:t>
      </w:r>
      <w:r>
        <w:rPr>
          <w:rFonts w:hint="default" w:ascii="Times New Roman" w:hAnsi="Times New Roman" w:eastAsia="仿宋_GB2312" w:cs="Times New Roman"/>
          <w:color w:val="000000"/>
          <w:sz w:val="32"/>
          <w:szCs w:val="32"/>
        </w:rPr>
        <w:t>综合实力显著提升，主要经济指标年均增速高于全市，经济总量迈上新的台阶，高端装备关键零部件制造强县、新型能源强县、特色农业强县、邢东商贸强县建设取得显著成效，新型工业化、信息化、城镇化、农业现代化取得重大进展，发展新质生产力、建设现代化经济体系、服务融入新发展格局取得重大突破。</w:t>
      </w:r>
    </w:p>
    <w:p w14:paraId="205CD6E0">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楷体_GB2312" w:cs="Times New Roman"/>
          <w:b/>
          <w:bCs/>
          <w:color w:val="000000"/>
          <w:sz w:val="32"/>
          <w:szCs w:val="32"/>
          <w:lang w:val="en"/>
        </w:rPr>
      </w:pPr>
      <w:r>
        <w:rPr>
          <w:rFonts w:hint="default" w:ascii="Times New Roman" w:hAnsi="Times New Roman" w:eastAsia="楷体_GB2312" w:cs="Times New Roman"/>
          <w:b/>
          <w:bCs/>
          <w:color w:val="000000"/>
          <w:sz w:val="32"/>
          <w:szCs w:val="32"/>
          <w:lang w:val="en"/>
        </w:rPr>
        <w:t>——科技创新能力持续增强。</w:t>
      </w:r>
      <w:r>
        <w:rPr>
          <w:rFonts w:hint="default" w:ascii="Times New Roman" w:hAnsi="Times New Roman" w:eastAsia="仿宋_GB2312" w:cs="Times New Roman"/>
          <w:color w:val="000000"/>
          <w:sz w:val="32"/>
          <w:szCs w:val="32"/>
          <w:lang w:val="en"/>
        </w:rPr>
        <w:t>全社会研发投入强度达到更高水平，产业创新能力明显增强，企业创新主体地位更加突出，科技创新和产业创新加快融合，科技创新效能显著增强，全要素生产率稳步提升，创新型巨鹿建设取得显著成效。</w:t>
      </w:r>
    </w:p>
    <w:p w14:paraId="1C7AC145">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——进一步全面深化改革取得新突破。</w:t>
      </w:r>
      <w:r>
        <w:rPr>
          <w:rFonts w:hint="default" w:ascii="Times New Roman" w:hAnsi="Times New Roman" w:eastAsia="仿宋_GB2312" w:cs="Times New Roman"/>
          <w:color w:val="000000"/>
          <w:sz w:val="32"/>
          <w:szCs w:val="32"/>
          <w:lang w:val="en"/>
        </w:rPr>
        <w:t>治理体系和治理能力现代化深入推进，制约高质量发展的短板弱项和体制机制障碍加快解决，财税管理、政务服务、金融支持、城乡建设等领域改革取得扎实成效，农业农村、医养结合、就业服务、教育教学、数字治理、志愿服务等领域改革实现新突破，探索形成更多改革</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巨鹿样板</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w:t>
      </w:r>
    </w:p>
    <w:p w14:paraId="4E3B9F9C">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——社会文明程度明显提升。</w:t>
      </w:r>
      <w:r>
        <w:rPr>
          <w:rFonts w:hint="default" w:ascii="Times New Roman" w:hAnsi="Times New Roman" w:eastAsia="仿宋_GB2312" w:cs="Times New Roman"/>
          <w:color w:val="000000"/>
          <w:sz w:val="32"/>
          <w:szCs w:val="32"/>
          <w:lang w:val="en"/>
        </w:rPr>
        <w:t>文化自信更加坚定，主流思想舆论不断巩固壮大，社会主义核心价值观广泛践行，文化兴县取得更大成效，</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巨鹿之战</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城市精神的时代属性更加彰显，</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魅力古郡</w:t>
      </w:r>
      <w:r>
        <w:rPr>
          <w:rFonts w:hint="eastAsia" w:ascii="Times New Roman" w:hAnsi="Times New Roman" w:eastAsia="仿宋_GB2312" w:cs="Times New Roman"/>
          <w:color w:val="000000"/>
          <w:sz w:val="32"/>
          <w:szCs w:val="32"/>
          <w:lang w:val="en" w:eastAsia="zh-CN"/>
        </w:rPr>
        <w:t>”</w:t>
      </w:r>
      <w:r>
        <w:rPr>
          <w:rFonts w:hint="default" w:ascii="Times New Roman" w:hAnsi="Times New Roman" w:eastAsia="仿宋_GB2312" w:cs="Times New Roman"/>
          <w:color w:val="000000"/>
          <w:sz w:val="32"/>
          <w:szCs w:val="32"/>
          <w:lang w:val="en"/>
        </w:rPr>
        <w:t>历史文化名片更加响亮，文化软实力和影响力不断提升。</w:t>
      </w:r>
    </w:p>
    <w:p w14:paraId="28570596">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楷体_GB2312" w:cs="Times New Roman"/>
          <w:b/>
          <w:bCs/>
          <w:color w:val="000000"/>
          <w:sz w:val="32"/>
          <w:szCs w:val="32"/>
          <w:lang w:val="en"/>
        </w:rPr>
      </w:pPr>
      <w:r>
        <w:rPr>
          <w:rFonts w:hint="default" w:ascii="Times New Roman" w:hAnsi="Times New Roman" w:eastAsia="楷体_GB2312" w:cs="Times New Roman"/>
          <w:b/>
          <w:bCs/>
          <w:color w:val="000000"/>
          <w:sz w:val="32"/>
          <w:szCs w:val="32"/>
          <w:lang w:val="en"/>
        </w:rPr>
        <w:t>——人民生活品质不断提高。</w:t>
      </w:r>
      <w:r>
        <w:rPr>
          <w:rFonts w:hint="default" w:ascii="Times New Roman" w:hAnsi="Times New Roman" w:eastAsia="仿宋_GB2312" w:cs="Times New Roman"/>
          <w:color w:val="000000"/>
          <w:sz w:val="32"/>
          <w:szCs w:val="32"/>
          <w:lang w:val="en"/>
        </w:rPr>
        <w:t>城市更新和乡村振兴取得扎实成效，高质量充分就业取得新进展，居民收入稳步增长，中等收入群体持续扩大；社会保障制度更加优化、更可持续，基本公共服务均等化水平持续提高；社区治理和服务体系持续完善，群众获得感、幸福感、安全感显著提升。</w:t>
      </w:r>
    </w:p>
    <w:p w14:paraId="3954A485">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——美丽巨鹿建设取得更大进展。</w:t>
      </w:r>
      <w:r>
        <w:rPr>
          <w:rFonts w:hint="default" w:ascii="Times New Roman" w:hAnsi="Times New Roman" w:eastAsia="仿宋_GB2312" w:cs="Times New Roman"/>
          <w:color w:val="000000"/>
          <w:sz w:val="32"/>
          <w:szCs w:val="32"/>
          <w:lang w:val="en"/>
        </w:rPr>
        <w:t>生态文明制度体系更加完善，绿色生产生活方式基本形成，碳达峰目标如期实现，平原水乡建设取得显著成效，天蓝、地绿、水秀的美丽巨鹿画卷更加绚丽多彩，生态文明建设迈出新步伐。</w:t>
      </w:r>
    </w:p>
    <w:p w14:paraId="2513F438">
      <w:pPr>
        <w:keepNext w:val="0"/>
        <w:keepLines w:val="0"/>
        <w:pageBreakBefore w:val="0"/>
        <w:widowControl w:val="0"/>
        <w:kinsoku/>
        <w:wordWrap/>
        <w:overflowPunct w:val="0"/>
        <w:topLinePunct w:val="0"/>
        <w:autoSpaceDE w:val="0"/>
        <w:autoSpaceDN w:val="0"/>
        <w:bidi w:val="0"/>
        <w:adjustRightInd w:val="0"/>
        <w:snapToGrid/>
        <w:spacing w:line="570" w:lineRule="exact"/>
        <w:ind w:left="0" w:leftChars="0" w:firstLine="643" w:firstLineChars="20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楷体_GB2312" w:cs="Times New Roman"/>
          <w:b/>
          <w:bCs/>
          <w:color w:val="000000"/>
          <w:sz w:val="32"/>
          <w:szCs w:val="32"/>
          <w:lang w:val="en"/>
        </w:rPr>
        <w:t>——平安巨鹿建设达到更高水平。</w:t>
      </w:r>
      <w:r>
        <w:rPr>
          <w:rFonts w:hint="default" w:ascii="Times New Roman" w:hAnsi="Times New Roman" w:eastAsia="仿宋_GB2312" w:cs="Times New Roman"/>
          <w:color w:val="000000"/>
          <w:sz w:val="32"/>
          <w:szCs w:val="32"/>
          <w:lang w:val="en"/>
        </w:rPr>
        <w:t>社会安全体系和能力进一步增强，重点领域风险得到有效防范化解，社会治理能力和公共安全治理水平明显提高，自然灾害防御能力显著提升，各类突发公共事件应急能力显著增强，经济社会高质量发展安全屏障更加坚实。</w:t>
      </w:r>
    </w:p>
    <w:p w14:paraId="405E480F">
      <w:pPr>
        <w:pStyle w:val="17"/>
        <w:keepNext w:val="0"/>
        <w:keepLines w:val="0"/>
        <w:pageBreakBefore w:val="0"/>
        <w:widowControl w:val="0"/>
        <w:kinsoku/>
        <w:wordWrap/>
        <w:overflowPunct w:val="0"/>
        <w:topLinePunct w:val="0"/>
        <w:autoSpaceDE w:val="0"/>
        <w:autoSpaceDN w:val="0"/>
        <w:bidi w:val="0"/>
        <w:snapToGrid/>
        <w:spacing w:after="0" w:line="570" w:lineRule="exact"/>
        <w:ind w:left="0" w:leftChars="0" w:firstLine="640"/>
        <w:textAlignment w:val="auto"/>
        <w:rPr>
          <w:rFonts w:hint="default" w:ascii="Times New Roman" w:hAnsi="Times New Roman" w:eastAsia="仿宋_GB2312" w:cs="Times New Roman"/>
          <w:color w:val="000000"/>
          <w:sz w:val="32"/>
          <w:szCs w:val="32"/>
          <w:lang w:val="en"/>
        </w:rPr>
      </w:pPr>
      <w:r>
        <w:rPr>
          <w:rFonts w:hint="default" w:ascii="Times New Roman" w:hAnsi="Times New Roman" w:eastAsia="仿宋_GB2312" w:cs="Times New Roman"/>
          <w:color w:val="000000"/>
          <w:sz w:val="32"/>
          <w:szCs w:val="32"/>
          <w:lang w:val="en"/>
        </w:rPr>
        <w:t>在此基础上再奋斗五年，到二</w:t>
      </w:r>
      <w:r>
        <w:rPr>
          <w:rFonts w:hint="default" w:ascii="Times New Roman" w:hAnsi="Times New Roman" w:eastAsia="微软雅黑" w:cs="Times New Roman"/>
          <w:color w:val="000000"/>
          <w:sz w:val="32"/>
          <w:szCs w:val="32"/>
          <w:lang w:val="en"/>
        </w:rPr>
        <w:t>〇</w:t>
      </w:r>
      <w:r>
        <w:rPr>
          <w:rFonts w:hint="default" w:ascii="Times New Roman" w:hAnsi="Times New Roman" w:eastAsia="仿宋_GB2312" w:cs="Times New Roman"/>
          <w:color w:val="000000"/>
          <w:sz w:val="32"/>
          <w:szCs w:val="32"/>
          <w:lang w:val="en"/>
        </w:rPr>
        <w:t>三五年我县经济实力、科技实力、综合实力实现大幅跃升，城乡居民收入迈上新的台阶，人民生活更加幸福美好，加快开创高质量发展新局面，同全国一道基本实现社会主义现代化。</w:t>
      </w:r>
    </w:p>
    <w:p w14:paraId="45720B6A">
      <w:pPr>
        <w:keepNext/>
        <w:keepLines/>
        <w:spacing w:line="600" w:lineRule="exact"/>
        <w:contextualSpacing/>
        <w:jc w:val="center"/>
        <w:outlineLvl w:val="1"/>
        <w:rPr>
          <w:rFonts w:hint="default" w:ascii="Times New Roman" w:hAnsi="Times New Roman" w:eastAsia="楷体" w:cs="Times New Roman"/>
          <w:b/>
          <w:color w:val="000000"/>
          <w:sz w:val="32"/>
          <w:szCs w:val="28"/>
        </w:rPr>
      </w:pPr>
      <w:r>
        <w:rPr>
          <w:rFonts w:hint="default" w:ascii="Times New Roman" w:hAnsi="Times New Roman" w:eastAsia="仿宋_GB2312" w:cs="Times New Roman"/>
          <w:color w:val="000000"/>
          <w:sz w:val="32"/>
          <w:szCs w:val="32"/>
          <w:lang w:val="en"/>
        </w:rPr>
        <w:br w:type="page"/>
      </w:r>
      <w:bookmarkStart w:id="28" w:name="_Toc25591"/>
      <w:bookmarkStart w:id="29" w:name="_Toc6845"/>
      <w:r>
        <w:rPr>
          <w:rFonts w:hint="default" w:ascii="Times New Roman" w:hAnsi="Times New Roman" w:eastAsia="楷体" w:cs="Times New Roman"/>
          <w:b/>
          <w:color w:val="000000"/>
          <w:sz w:val="32"/>
          <w:szCs w:val="28"/>
        </w:rPr>
        <w:t xml:space="preserve">第四节 </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十五五</w:t>
      </w:r>
      <w:r>
        <w:rPr>
          <w:rFonts w:hint="eastAsia" w:ascii="Times New Roman" w:hAnsi="Times New Roman" w:eastAsia="楷体" w:cs="Times New Roman"/>
          <w:b/>
          <w:color w:val="000000"/>
          <w:sz w:val="32"/>
          <w:szCs w:val="28"/>
          <w:lang w:eastAsia="zh-CN"/>
        </w:rPr>
        <w:t>”</w:t>
      </w:r>
      <w:r>
        <w:rPr>
          <w:rFonts w:hint="default" w:ascii="Times New Roman" w:hAnsi="Times New Roman" w:eastAsia="楷体" w:cs="Times New Roman"/>
          <w:b/>
          <w:color w:val="000000"/>
          <w:sz w:val="32"/>
          <w:szCs w:val="28"/>
        </w:rPr>
        <w:t>经济社会发展的具体目标</w:t>
      </w:r>
      <w:bookmarkEnd w:id="28"/>
      <w:bookmarkEnd w:id="29"/>
    </w:p>
    <w:tbl>
      <w:tblPr>
        <w:tblStyle w:val="18"/>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1688"/>
        <w:gridCol w:w="2305"/>
        <w:gridCol w:w="1050"/>
        <w:gridCol w:w="1213"/>
        <w:gridCol w:w="1337"/>
        <w:gridCol w:w="938"/>
      </w:tblGrid>
      <w:tr w14:paraId="2D69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57" w:type="dxa"/>
            <w:noWrap w:val="0"/>
            <w:vAlign w:val="center"/>
          </w:tcPr>
          <w:p w14:paraId="20942B51">
            <w:pPr>
              <w:tabs>
                <w:tab w:val="center" w:pos="481"/>
              </w:tabs>
              <w:overflowPunct w:val="0"/>
              <w:topLinePunct/>
              <w:adjustRightInd w:val="0"/>
              <w:spacing w:line="300" w:lineRule="auto"/>
              <w:contextualSpacing/>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类别</w:t>
            </w:r>
          </w:p>
        </w:tc>
        <w:tc>
          <w:tcPr>
            <w:tcW w:w="3993" w:type="dxa"/>
            <w:gridSpan w:val="2"/>
            <w:noWrap w:val="0"/>
            <w:vAlign w:val="center"/>
          </w:tcPr>
          <w:p w14:paraId="702B8AEC">
            <w:pPr>
              <w:autoSpaceDE w:val="0"/>
              <w:autoSpaceDN w:val="0"/>
              <w:adjustRightInd w:val="0"/>
              <w:spacing w:line="300" w:lineRule="auto"/>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指 标</w:t>
            </w:r>
          </w:p>
        </w:tc>
        <w:tc>
          <w:tcPr>
            <w:tcW w:w="1050" w:type="dxa"/>
            <w:noWrap w:val="0"/>
            <w:vAlign w:val="center"/>
          </w:tcPr>
          <w:p w14:paraId="531BD2E2">
            <w:pPr>
              <w:autoSpaceDE w:val="0"/>
              <w:autoSpaceDN w:val="0"/>
              <w:adjustRightInd w:val="0"/>
              <w:spacing w:line="300" w:lineRule="auto"/>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2025年</w:t>
            </w:r>
          </w:p>
        </w:tc>
        <w:tc>
          <w:tcPr>
            <w:tcW w:w="1213" w:type="dxa"/>
            <w:noWrap w:val="0"/>
            <w:vAlign w:val="center"/>
          </w:tcPr>
          <w:p w14:paraId="6AE0895A">
            <w:pPr>
              <w:autoSpaceDE w:val="0"/>
              <w:autoSpaceDN w:val="0"/>
              <w:adjustRightInd w:val="0"/>
              <w:spacing w:line="300" w:lineRule="auto"/>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2030年</w:t>
            </w:r>
          </w:p>
        </w:tc>
        <w:tc>
          <w:tcPr>
            <w:tcW w:w="1337" w:type="dxa"/>
            <w:noWrap w:val="0"/>
            <w:vAlign w:val="center"/>
          </w:tcPr>
          <w:p w14:paraId="68ACF0DD">
            <w:pPr>
              <w:autoSpaceDE w:val="0"/>
              <w:autoSpaceDN w:val="0"/>
              <w:adjustRightInd w:val="0"/>
              <w:spacing w:line="300" w:lineRule="auto"/>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年均/累计</w:t>
            </w:r>
          </w:p>
        </w:tc>
        <w:tc>
          <w:tcPr>
            <w:tcW w:w="938" w:type="dxa"/>
            <w:noWrap w:val="0"/>
            <w:vAlign w:val="center"/>
          </w:tcPr>
          <w:p w14:paraId="20351C05">
            <w:pPr>
              <w:autoSpaceDE w:val="0"/>
              <w:autoSpaceDN w:val="0"/>
              <w:adjustRightInd w:val="0"/>
              <w:spacing w:line="300" w:lineRule="auto"/>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属性</w:t>
            </w:r>
          </w:p>
        </w:tc>
      </w:tr>
      <w:tr w14:paraId="4B56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restart"/>
            <w:noWrap w:val="0"/>
            <w:vAlign w:val="center"/>
          </w:tcPr>
          <w:p w14:paraId="2C47C774">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经济发展</w:t>
            </w:r>
          </w:p>
        </w:tc>
        <w:tc>
          <w:tcPr>
            <w:tcW w:w="3993" w:type="dxa"/>
            <w:gridSpan w:val="2"/>
            <w:noWrap w:val="0"/>
            <w:vAlign w:val="center"/>
          </w:tcPr>
          <w:p w14:paraId="04760AAB">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1.地区生产总值（GDP）增长率（%）</w:t>
            </w:r>
          </w:p>
        </w:tc>
        <w:tc>
          <w:tcPr>
            <w:tcW w:w="1050" w:type="dxa"/>
            <w:noWrap w:val="0"/>
            <w:vAlign w:val="center"/>
          </w:tcPr>
          <w:p w14:paraId="002C4174">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rPr>
              <w:t>6</w:t>
            </w:r>
            <w:r>
              <w:rPr>
                <w:rFonts w:hint="default" w:ascii="Times New Roman" w:hAnsi="Times New Roman" w:cs="Times New Roman"/>
                <w:color w:val="000000"/>
                <w:sz w:val="20"/>
                <w:szCs w:val="20"/>
                <w:lang w:val="en-US" w:eastAsia="zh-CN"/>
              </w:rPr>
              <w:t>.3</w:t>
            </w:r>
          </w:p>
        </w:tc>
        <w:tc>
          <w:tcPr>
            <w:tcW w:w="1213" w:type="dxa"/>
            <w:noWrap w:val="0"/>
            <w:vAlign w:val="center"/>
          </w:tcPr>
          <w:p w14:paraId="20132E33">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w:t>
            </w:r>
          </w:p>
        </w:tc>
        <w:tc>
          <w:tcPr>
            <w:tcW w:w="1337" w:type="dxa"/>
            <w:noWrap w:val="0"/>
            <w:vAlign w:val="center"/>
          </w:tcPr>
          <w:p w14:paraId="51DA8109">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5(年均)</w:t>
            </w:r>
          </w:p>
        </w:tc>
        <w:tc>
          <w:tcPr>
            <w:tcW w:w="938" w:type="dxa"/>
            <w:noWrap w:val="0"/>
            <w:vAlign w:val="center"/>
          </w:tcPr>
          <w:p w14:paraId="1D91751C">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66FB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continue"/>
            <w:noWrap w:val="0"/>
            <w:vAlign w:val="center"/>
          </w:tcPr>
          <w:p w14:paraId="02FD2782">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012BFD59">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2.全员劳动生产率增长（%）</w:t>
            </w:r>
          </w:p>
        </w:tc>
        <w:tc>
          <w:tcPr>
            <w:tcW w:w="1050" w:type="dxa"/>
            <w:noWrap w:val="0"/>
            <w:vAlign w:val="center"/>
          </w:tcPr>
          <w:p w14:paraId="02602A70">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1213" w:type="dxa"/>
            <w:noWrap w:val="0"/>
            <w:vAlign w:val="center"/>
          </w:tcPr>
          <w:p w14:paraId="71DB9B57">
            <w:pPr>
              <w:autoSpaceDE w:val="0"/>
              <w:autoSpaceDN w:val="0"/>
              <w:adjustRightInd w:val="0"/>
              <w:spacing w:line="300" w:lineRule="auto"/>
              <w:jc w:val="center"/>
              <w:rPr>
                <w:rFonts w:hint="default" w:ascii="Times New Roman" w:hAnsi="Times New Roman" w:cs="Times New Roman"/>
                <w:color w:val="000000"/>
                <w:sz w:val="20"/>
                <w:szCs w:val="20"/>
              </w:rPr>
            </w:pPr>
          </w:p>
        </w:tc>
        <w:tc>
          <w:tcPr>
            <w:tcW w:w="1337" w:type="dxa"/>
            <w:noWrap w:val="0"/>
            <w:vAlign w:val="center"/>
          </w:tcPr>
          <w:p w14:paraId="204F2008">
            <w:pPr>
              <w:autoSpaceDE w:val="0"/>
              <w:autoSpaceDN w:val="0"/>
              <w:adjustRightInd w:val="0"/>
              <w:spacing w:line="300" w:lineRule="auto"/>
              <w:rPr>
                <w:rFonts w:hint="default" w:ascii="Times New Roman" w:hAnsi="Times New Roman" w:cs="Times New Roman"/>
                <w:color w:val="000000"/>
                <w:sz w:val="20"/>
                <w:szCs w:val="20"/>
              </w:rPr>
            </w:pPr>
          </w:p>
        </w:tc>
        <w:tc>
          <w:tcPr>
            <w:tcW w:w="938" w:type="dxa"/>
            <w:noWrap w:val="0"/>
            <w:vAlign w:val="center"/>
          </w:tcPr>
          <w:p w14:paraId="6FF2FCB5">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0CEE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continue"/>
            <w:noWrap w:val="0"/>
            <w:vAlign w:val="center"/>
          </w:tcPr>
          <w:p w14:paraId="7A522993">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7E23988E">
            <w:pPr>
              <w:autoSpaceDE w:val="0"/>
              <w:autoSpaceDN w:val="0"/>
              <w:adjustRightInd w:val="0"/>
              <w:spacing w:line="300" w:lineRule="auto"/>
              <w:rPr>
                <w:rFonts w:hint="default" w:ascii="Times New Roman" w:hAnsi="Times New Roman" w:cs="Times New Roman"/>
                <w:color w:val="FF0000"/>
                <w:sz w:val="20"/>
                <w:szCs w:val="20"/>
              </w:rPr>
            </w:pPr>
            <w:r>
              <w:rPr>
                <w:rFonts w:hint="default" w:ascii="Times New Roman" w:hAnsi="Times New Roman" w:cs="Times New Roman"/>
                <w:color w:val="auto"/>
                <w:sz w:val="20"/>
                <w:szCs w:val="20"/>
              </w:rPr>
              <w:t>3.常住人口城镇化率（%）</w:t>
            </w:r>
          </w:p>
        </w:tc>
        <w:tc>
          <w:tcPr>
            <w:tcW w:w="1050" w:type="dxa"/>
            <w:noWrap w:val="0"/>
            <w:vAlign w:val="center"/>
          </w:tcPr>
          <w:p w14:paraId="78DC9450">
            <w:pPr>
              <w:autoSpaceDE w:val="0"/>
              <w:autoSpaceDN w:val="0"/>
              <w:adjustRightInd w:val="0"/>
              <w:spacing w:line="300" w:lineRule="auto"/>
              <w:jc w:val="center"/>
              <w:rPr>
                <w:rFonts w:hint="default" w:ascii="Times New Roman" w:hAnsi="Times New Roman" w:eastAsia="宋体" w:cs="Times New Roman"/>
                <w:color w:val="auto"/>
                <w:sz w:val="20"/>
                <w:szCs w:val="20"/>
                <w:lang w:val="en-US" w:eastAsia="zh-CN"/>
              </w:rPr>
            </w:pPr>
            <w:r>
              <w:rPr>
                <w:rFonts w:hint="default" w:ascii="Times New Roman" w:hAnsi="Times New Roman" w:cs="Times New Roman"/>
                <w:color w:val="auto"/>
                <w:sz w:val="20"/>
                <w:szCs w:val="20"/>
              </w:rPr>
              <w:t>4</w:t>
            </w:r>
            <w:r>
              <w:rPr>
                <w:rFonts w:hint="eastAsia" w:cs="Times New Roman"/>
                <w:color w:val="auto"/>
                <w:sz w:val="20"/>
                <w:szCs w:val="20"/>
                <w:lang w:val="en-US" w:eastAsia="zh-CN"/>
              </w:rPr>
              <w:t>7</w:t>
            </w:r>
            <w:r>
              <w:rPr>
                <w:rFonts w:hint="default" w:ascii="Times New Roman" w:hAnsi="Times New Roman" w:cs="Times New Roman"/>
                <w:color w:val="auto"/>
                <w:sz w:val="20"/>
                <w:szCs w:val="20"/>
              </w:rPr>
              <w:t>.</w:t>
            </w:r>
            <w:r>
              <w:rPr>
                <w:rFonts w:hint="eastAsia" w:cs="Times New Roman"/>
                <w:color w:val="auto"/>
                <w:sz w:val="20"/>
                <w:szCs w:val="20"/>
                <w:lang w:val="en-US" w:eastAsia="zh-CN"/>
              </w:rPr>
              <w:t>08</w:t>
            </w:r>
          </w:p>
        </w:tc>
        <w:tc>
          <w:tcPr>
            <w:tcW w:w="1213" w:type="dxa"/>
            <w:noWrap w:val="0"/>
            <w:vAlign w:val="center"/>
          </w:tcPr>
          <w:p w14:paraId="26AA11C3">
            <w:pPr>
              <w:autoSpaceDE w:val="0"/>
              <w:autoSpaceDN w:val="0"/>
              <w:adjustRightInd w:val="0"/>
              <w:spacing w:line="300" w:lineRule="auto"/>
              <w:jc w:val="center"/>
              <w:rPr>
                <w:rFonts w:hint="eastAsia" w:ascii="Times New Roman" w:hAnsi="Times New Roman" w:eastAsia="宋体" w:cs="Times New Roman"/>
                <w:color w:val="auto"/>
                <w:sz w:val="20"/>
                <w:szCs w:val="20"/>
                <w:lang w:val="en-US" w:eastAsia="zh-CN"/>
              </w:rPr>
            </w:pPr>
            <w:r>
              <w:rPr>
                <w:rFonts w:hint="default" w:ascii="Times New Roman" w:hAnsi="Times New Roman" w:cs="Times New Roman"/>
                <w:color w:val="auto"/>
                <w:sz w:val="20"/>
                <w:szCs w:val="20"/>
              </w:rPr>
              <w:t>50</w:t>
            </w:r>
            <w:r>
              <w:rPr>
                <w:rFonts w:hint="eastAsia" w:cs="Times New Roman"/>
                <w:color w:val="auto"/>
                <w:sz w:val="20"/>
                <w:szCs w:val="20"/>
                <w:lang w:val="en-US" w:eastAsia="zh-CN"/>
              </w:rPr>
              <w:t>左右</w:t>
            </w:r>
          </w:p>
        </w:tc>
        <w:tc>
          <w:tcPr>
            <w:tcW w:w="1337" w:type="dxa"/>
            <w:noWrap w:val="0"/>
            <w:vAlign w:val="center"/>
          </w:tcPr>
          <w:p w14:paraId="0CCB9032">
            <w:pPr>
              <w:autoSpaceDE w:val="0"/>
              <w:autoSpaceDN w:val="0"/>
              <w:adjustRightInd w:val="0"/>
              <w:spacing w:line="300" w:lineRule="auto"/>
              <w:ind w:firstLine="440"/>
              <w:rPr>
                <w:rFonts w:hint="default" w:ascii="Times New Roman" w:hAnsi="Times New Roman" w:cs="Times New Roman"/>
                <w:color w:val="auto"/>
                <w:sz w:val="20"/>
                <w:szCs w:val="20"/>
              </w:rPr>
            </w:pPr>
            <w:r>
              <w:rPr>
                <w:rFonts w:hint="default" w:ascii="Times New Roman" w:hAnsi="Times New Roman" w:cs="Times New Roman"/>
                <w:color w:val="000000"/>
                <w:sz w:val="20"/>
                <w:szCs w:val="20"/>
              </w:rPr>
              <w:t>—</w:t>
            </w:r>
          </w:p>
        </w:tc>
        <w:tc>
          <w:tcPr>
            <w:tcW w:w="938" w:type="dxa"/>
            <w:noWrap w:val="0"/>
            <w:vAlign w:val="center"/>
          </w:tcPr>
          <w:p w14:paraId="778D0F7D">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预期性</w:t>
            </w:r>
          </w:p>
        </w:tc>
      </w:tr>
      <w:tr w14:paraId="11CB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restart"/>
            <w:noWrap w:val="0"/>
            <w:vAlign w:val="center"/>
          </w:tcPr>
          <w:p w14:paraId="5DB0FA1E">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创新驱动</w:t>
            </w:r>
          </w:p>
        </w:tc>
        <w:tc>
          <w:tcPr>
            <w:tcW w:w="3993" w:type="dxa"/>
            <w:gridSpan w:val="2"/>
            <w:noWrap w:val="0"/>
            <w:vAlign w:val="center"/>
          </w:tcPr>
          <w:p w14:paraId="176EE2D5">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4.全社会研发经费投入增长（%）</w:t>
            </w:r>
          </w:p>
        </w:tc>
        <w:tc>
          <w:tcPr>
            <w:tcW w:w="1050" w:type="dxa"/>
            <w:noWrap w:val="0"/>
            <w:vAlign w:val="center"/>
          </w:tcPr>
          <w:p w14:paraId="551B3716">
            <w:pPr>
              <w:autoSpaceDE w:val="0"/>
              <w:autoSpaceDN w:val="0"/>
              <w:adjustRightInd w:val="0"/>
              <w:spacing w:line="300" w:lineRule="auto"/>
              <w:jc w:val="center"/>
              <w:rPr>
                <w:rFonts w:hint="default" w:ascii="Times New Roman" w:hAnsi="Times New Roman" w:eastAsia="等线" w:cs="Times New Roman"/>
                <w:color w:val="auto"/>
                <w:sz w:val="20"/>
                <w:szCs w:val="20"/>
                <w:lang w:eastAsia="zh-CN"/>
              </w:rPr>
            </w:pPr>
            <w:r>
              <w:rPr>
                <w:rFonts w:hint="default" w:ascii="Times New Roman" w:hAnsi="Times New Roman" w:cs="Times New Roman"/>
                <w:color w:val="auto"/>
                <w:sz w:val="20"/>
                <w:szCs w:val="20"/>
                <w:lang w:val="en-US" w:eastAsia="zh-CN"/>
              </w:rPr>
              <w:t>6</w:t>
            </w:r>
          </w:p>
        </w:tc>
        <w:tc>
          <w:tcPr>
            <w:tcW w:w="1213" w:type="dxa"/>
            <w:noWrap w:val="0"/>
            <w:vAlign w:val="center"/>
          </w:tcPr>
          <w:p w14:paraId="4A374D0A">
            <w:pPr>
              <w:autoSpaceDE w:val="0"/>
              <w:autoSpaceDN w:val="0"/>
              <w:adjustRightInd w:val="0"/>
              <w:spacing w:line="300" w:lineRule="auto"/>
              <w:jc w:val="center"/>
              <w:rPr>
                <w:rFonts w:hint="default" w:ascii="Times New Roman" w:hAnsi="Times New Roman" w:eastAsia="等线" w:cs="Times New Roman"/>
                <w:color w:val="auto"/>
                <w:sz w:val="20"/>
                <w:szCs w:val="20"/>
                <w:lang w:val="en-US" w:eastAsia="zh-CN"/>
              </w:rPr>
            </w:pPr>
            <w:r>
              <w:rPr>
                <w:rFonts w:hint="default" w:ascii="Times New Roman" w:hAnsi="Times New Roman" w:cs="Times New Roman"/>
                <w:color w:val="auto"/>
                <w:sz w:val="20"/>
                <w:szCs w:val="20"/>
                <w:lang w:val="en-US" w:eastAsia="zh-CN"/>
              </w:rPr>
              <w:t>6</w:t>
            </w:r>
          </w:p>
        </w:tc>
        <w:tc>
          <w:tcPr>
            <w:tcW w:w="1337" w:type="dxa"/>
            <w:noWrap w:val="0"/>
            <w:vAlign w:val="center"/>
          </w:tcPr>
          <w:p w14:paraId="659BDE37">
            <w:pPr>
              <w:autoSpaceDE w:val="0"/>
              <w:autoSpaceDN w:val="0"/>
              <w:adjustRightInd w:val="0"/>
              <w:spacing w:line="300" w:lineRule="auto"/>
              <w:jc w:val="center"/>
              <w:rPr>
                <w:rFonts w:hint="default" w:ascii="Times New Roman" w:hAnsi="Times New Roman" w:eastAsia="等线" w:cs="Times New Roman"/>
                <w:color w:val="auto"/>
                <w:sz w:val="20"/>
                <w:szCs w:val="20"/>
                <w:lang w:val="en-US" w:eastAsia="zh-CN"/>
              </w:rPr>
            </w:pPr>
            <w:r>
              <w:rPr>
                <w:rFonts w:hint="default" w:ascii="Times New Roman" w:hAnsi="Times New Roman" w:cs="Times New Roman"/>
                <w:color w:val="auto"/>
                <w:sz w:val="20"/>
                <w:szCs w:val="20"/>
                <w:lang w:val="en-US" w:eastAsia="zh-CN"/>
              </w:rPr>
              <w:t>6(平均)</w:t>
            </w:r>
          </w:p>
        </w:tc>
        <w:tc>
          <w:tcPr>
            <w:tcW w:w="938" w:type="dxa"/>
            <w:noWrap w:val="0"/>
            <w:vAlign w:val="center"/>
          </w:tcPr>
          <w:p w14:paraId="3F9BD350">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预期性</w:t>
            </w:r>
          </w:p>
        </w:tc>
      </w:tr>
      <w:tr w14:paraId="789D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continue"/>
            <w:noWrap w:val="0"/>
            <w:vAlign w:val="center"/>
          </w:tcPr>
          <w:p w14:paraId="7073DD3C">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2664F21C">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5.每万人口拥有高价值发明专利数（件）</w:t>
            </w:r>
          </w:p>
        </w:tc>
        <w:tc>
          <w:tcPr>
            <w:tcW w:w="1050" w:type="dxa"/>
            <w:noWrap w:val="0"/>
            <w:vAlign w:val="center"/>
          </w:tcPr>
          <w:p w14:paraId="0DA0ACFB">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0.43</w:t>
            </w:r>
          </w:p>
        </w:tc>
        <w:tc>
          <w:tcPr>
            <w:tcW w:w="1213" w:type="dxa"/>
            <w:noWrap w:val="0"/>
            <w:vAlign w:val="center"/>
          </w:tcPr>
          <w:p w14:paraId="477E6CF3">
            <w:pPr>
              <w:autoSpaceDE w:val="0"/>
              <w:autoSpaceDN w:val="0"/>
              <w:adjustRightInd w:val="0"/>
              <w:spacing w:line="300" w:lineRule="auto"/>
              <w:jc w:val="center"/>
              <w:rPr>
                <w:rFonts w:hint="default" w:ascii="Times New Roman" w:hAnsi="Times New Roman" w:eastAsia="等线" w:cs="Times New Roman"/>
                <w:color w:val="auto"/>
                <w:sz w:val="20"/>
                <w:szCs w:val="20"/>
                <w:lang w:eastAsia="zh-CN"/>
              </w:rPr>
            </w:pPr>
            <w:r>
              <w:rPr>
                <w:rFonts w:hint="default" w:ascii="Times New Roman" w:hAnsi="Times New Roman" w:cs="Times New Roman"/>
                <w:color w:val="auto"/>
                <w:sz w:val="20"/>
                <w:szCs w:val="20"/>
              </w:rPr>
              <w:t>0.8</w:t>
            </w:r>
            <w:r>
              <w:rPr>
                <w:rFonts w:hint="default" w:ascii="Times New Roman" w:hAnsi="Times New Roman" w:cs="Times New Roman"/>
                <w:color w:val="auto"/>
                <w:sz w:val="20"/>
                <w:szCs w:val="20"/>
                <w:lang w:val="en-US" w:eastAsia="zh-CN"/>
              </w:rPr>
              <w:t>6</w:t>
            </w:r>
          </w:p>
        </w:tc>
        <w:tc>
          <w:tcPr>
            <w:tcW w:w="1337" w:type="dxa"/>
            <w:noWrap w:val="0"/>
            <w:vAlign w:val="center"/>
          </w:tcPr>
          <w:p w14:paraId="52224193">
            <w:pPr>
              <w:autoSpaceDE w:val="0"/>
              <w:autoSpaceDN w:val="0"/>
              <w:adjustRightInd w:val="0"/>
              <w:spacing w:line="300" w:lineRule="auto"/>
              <w:ind w:firstLine="440"/>
              <w:rPr>
                <w:rFonts w:hint="default" w:ascii="Times New Roman" w:hAnsi="Times New Roman" w:eastAsia="等线" w:cs="Times New Roman"/>
                <w:color w:val="auto"/>
                <w:sz w:val="20"/>
                <w:szCs w:val="20"/>
                <w:lang w:val="en-US" w:eastAsia="zh-CN"/>
              </w:rPr>
            </w:pPr>
            <w:r>
              <w:rPr>
                <w:rFonts w:hint="eastAsia" w:eastAsia="等线" w:cs="Times New Roman"/>
                <w:color w:val="000000"/>
                <w:sz w:val="20"/>
                <w:szCs w:val="20"/>
                <w:lang w:val="en-US" w:eastAsia="zh-CN"/>
              </w:rPr>
              <w:t>[0.43]</w:t>
            </w:r>
          </w:p>
        </w:tc>
        <w:tc>
          <w:tcPr>
            <w:tcW w:w="938" w:type="dxa"/>
            <w:noWrap w:val="0"/>
            <w:vAlign w:val="center"/>
          </w:tcPr>
          <w:p w14:paraId="6B457983">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预期性</w:t>
            </w:r>
          </w:p>
        </w:tc>
      </w:tr>
      <w:tr w14:paraId="1D39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jc w:val="center"/>
        </w:trPr>
        <w:tc>
          <w:tcPr>
            <w:tcW w:w="1057" w:type="dxa"/>
            <w:vMerge w:val="continue"/>
            <w:noWrap w:val="0"/>
            <w:vAlign w:val="center"/>
          </w:tcPr>
          <w:p w14:paraId="72527AC0">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0C5573CF">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6.数字经济核心产业增加值占GDP比例（%）</w:t>
            </w:r>
          </w:p>
        </w:tc>
        <w:tc>
          <w:tcPr>
            <w:tcW w:w="1050" w:type="dxa"/>
            <w:noWrap w:val="0"/>
            <w:vAlign w:val="center"/>
          </w:tcPr>
          <w:p w14:paraId="6B08D677">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w:t>
            </w:r>
          </w:p>
        </w:tc>
        <w:tc>
          <w:tcPr>
            <w:tcW w:w="1213" w:type="dxa"/>
            <w:noWrap w:val="0"/>
            <w:vAlign w:val="center"/>
          </w:tcPr>
          <w:p w14:paraId="5DA2FF0A">
            <w:pPr>
              <w:autoSpaceDE w:val="0"/>
              <w:autoSpaceDN w:val="0"/>
              <w:adjustRightInd w:val="0"/>
              <w:spacing w:line="300" w:lineRule="auto"/>
              <w:ind w:firstLine="440"/>
              <w:jc w:val="both"/>
              <w:rPr>
                <w:rFonts w:hint="default" w:ascii="Times New Roman" w:hAnsi="Times New Roman" w:cs="Times New Roman"/>
                <w:color w:val="auto"/>
                <w:sz w:val="20"/>
                <w:szCs w:val="20"/>
              </w:rPr>
            </w:pPr>
            <w:r>
              <w:rPr>
                <w:rFonts w:hint="default" w:ascii="Times New Roman" w:hAnsi="Times New Roman" w:cs="Times New Roman"/>
                <w:color w:val="000000"/>
                <w:sz w:val="20"/>
                <w:szCs w:val="20"/>
              </w:rPr>
              <w:t>—</w:t>
            </w:r>
          </w:p>
        </w:tc>
        <w:tc>
          <w:tcPr>
            <w:tcW w:w="1337" w:type="dxa"/>
            <w:noWrap w:val="0"/>
            <w:vAlign w:val="center"/>
          </w:tcPr>
          <w:p w14:paraId="34F9BAA5">
            <w:pPr>
              <w:autoSpaceDE w:val="0"/>
              <w:autoSpaceDN w:val="0"/>
              <w:adjustRightInd w:val="0"/>
              <w:spacing w:line="300" w:lineRule="auto"/>
              <w:ind w:firstLine="440"/>
              <w:jc w:val="center"/>
              <w:rPr>
                <w:rFonts w:hint="default" w:ascii="Times New Roman" w:hAnsi="Times New Roman" w:cs="Times New Roman"/>
                <w:color w:val="auto"/>
                <w:sz w:val="20"/>
                <w:szCs w:val="20"/>
              </w:rPr>
            </w:pPr>
          </w:p>
        </w:tc>
        <w:tc>
          <w:tcPr>
            <w:tcW w:w="938" w:type="dxa"/>
            <w:noWrap w:val="0"/>
            <w:vAlign w:val="center"/>
          </w:tcPr>
          <w:p w14:paraId="0DCF2C52">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预期性</w:t>
            </w:r>
          </w:p>
        </w:tc>
      </w:tr>
      <w:tr w14:paraId="4309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exact"/>
          <w:jc w:val="center"/>
        </w:trPr>
        <w:tc>
          <w:tcPr>
            <w:tcW w:w="1057" w:type="dxa"/>
            <w:vMerge w:val="continue"/>
            <w:noWrap w:val="0"/>
            <w:vAlign w:val="center"/>
          </w:tcPr>
          <w:p w14:paraId="28B4A444">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771E69B7">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auto"/>
                <w:sz w:val="20"/>
                <w:szCs w:val="20"/>
              </w:rPr>
              <w:t>7.高新技术产业增加值占规模以上工业增加值比重（%）</w:t>
            </w:r>
          </w:p>
        </w:tc>
        <w:tc>
          <w:tcPr>
            <w:tcW w:w="1050" w:type="dxa"/>
            <w:noWrap w:val="0"/>
            <w:vAlign w:val="center"/>
          </w:tcPr>
          <w:p w14:paraId="3E16EE6A">
            <w:pPr>
              <w:autoSpaceDE w:val="0"/>
              <w:autoSpaceDN w:val="0"/>
              <w:adjustRightInd w:val="0"/>
              <w:spacing w:line="300" w:lineRule="auto"/>
              <w:jc w:val="center"/>
              <w:rPr>
                <w:rFonts w:hint="default" w:ascii="Times New Roman" w:hAnsi="Times New Roman" w:eastAsia="宋体" w:cs="Times New Roman"/>
                <w:color w:val="000000"/>
                <w:sz w:val="20"/>
                <w:szCs w:val="20"/>
                <w:lang w:val="en-US" w:eastAsia="zh-CN"/>
              </w:rPr>
            </w:pPr>
            <w:r>
              <w:rPr>
                <w:rFonts w:hint="default" w:ascii="Times New Roman" w:hAnsi="Times New Roman" w:cs="Times New Roman"/>
                <w:color w:val="000000"/>
                <w:sz w:val="20"/>
                <w:szCs w:val="20"/>
              </w:rPr>
              <w:t>34</w:t>
            </w:r>
            <w:r>
              <w:rPr>
                <w:rFonts w:hint="eastAsia" w:cs="Times New Roman"/>
                <w:color w:val="000000"/>
                <w:sz w:val="20"/>
                <w:szCs w:val="20"/>
                <w:lang w:val="en-US" w:eastAsia="zh-CN"/>
              </w:rPr>
              <w:t>.3</w:t>
            </w:r>
          </w:p>
        </w:tc>
        <w:tc>
          <w:tcPr>
            <w:tcW w:w="1213" w:type="dxa"/>
            <w:noWrap w:val="0"/>
            <w:vAlign w:val="center"/>
          </w:tcPr>
          <w:p w14:paraId="4428C110">
            <w:pPr>
              <w:autoSpaceDE w:val="0"/>
              <w:autoSpaceDN w:val="0"/>
              <w:adjustRightInd w:val="0"/>
              <w:spacing w:line="300" w:lineRule="auto"/>
              <w:jc w:val="center"/>
              <w:rPr>
                <w:rFonts w:hint="eastAsia" w:ascii="Times New Roman" w:hAnsi="Times New Roman" w:eastAsia="宋体" w:cs="Times New Roman"/>
                <w:color w:val="000000"/>
                <w:sz w:val="20"/>
                <w:szCs w:val="20"/>
                <w:lang w:val="en-US" w:eastAsia="zh-CN"/>
              </w:rPr>
            </w:pPr>
            <w:r>
              <w:rPr>
                <w:rFonts w:hint="default" w:ascii="Times New Roman" w:hAnsi="Times New Roman" w:cs="Times New Roman"/>
                <w:color w:val="000000"/>
                <w:sz w:val="20"/>
                <w:szCs w:val="20"/>
              </w:rPr>
              <w:t>40</w:t>
            </w:r>
            <w:r>
              <w:rPr>
                <w:rFonts w:hint="eastAsia" w:cs="Times New Roman"/>
                <w:color w:val="000000"/>
                <w:sz w:val="20"/>
                <w:szCs w:val="20"/>
                <w:lang w:val="en-US" w:eastAsia="zh-CN"/>
              </w:rPr>
              <w:t>左右</w:t>
            </w:r>
          </w:p>
        </w:tc>
        <w:tc>
          <w:tcPr>
            <w:tcW w:w="1337" w:type="dxa"/>
            <w:noWrap w:val="0"/>
            <w:vAlign w:val="center"/>
          </w:tcPr>
          <w:p w14:paraId="39D2949E">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938" w:type="dxa"/>
            <w:noWrap w:val="0"/>
            <w:vAlign w:val="center"/>
          </w:tcPr>
          <w:p w14:paraId="24579463">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5451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restart"/>
            <w:noWrap w:val="0"/>
            <w:vAlign w:val="center"/>
          </w:tcPr>
          <w:p w14:paraId="3F7ACE5E">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民生福祉</w:t>
            </w:r>
          </w:p>
        </w:tc>
        <w:tc>
          <w:tcPr>
            <w:tcW w:w="3993" w:type="dxa"/>
            <w:gridSpan w:val="2"/>
            <w:noWrap w:val="0"/>
            <w:vAlign w:val="center"/>
          </w:tcPr>
          <w:p w14:paraId="2E7DA320">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auto"/>
                <w:sz w:val="20"/>
                <w:szCs w:val="20"/>
              </w:rPr>
              <w:t>8.城镇调查失业率（%）</w:t>
            </w:r>
          </w:p>
        </w:tc>
        <w:tc>
          <w:tcPr>
            <w:tcW w:w="1050" w:type="dxa"/>
            <w:noWrap w:val="0"/>
            <w:vAlign w:val="center"/>
          </w:tcPr>
          <w:p w14:paraId="788144E8">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1213" w:type="dxa"/>
            <w:noWrap w:val="0"/>
            <w:vAlign w:val="center"/>
          </w:tcPr>
          <w:p w14:paraId="3EAC5BC9">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1337" w:type="dxa"/>
            <w:noWrap w:val="0"/>
            <w:vAlign w:val="center"/>
          </w:tcPr>
          <w:p w14:paraId="232322F0">
            <w:pPr>
              <w:autoSpaceDE w:val="0"/>
              <w:autoSpaceDN w:val="0"/>
              <w:adjustRightInd w:val="0"/>
              <w:spacing w:line="300" w:lineRule="auto"/>
              <w:ind w:firstLine="440"/>
              <w:jc w:val="both"/>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938" w:type="dxa"/>
            <w:noWrap w:val="0"/>
            <w:vAlign w:val="center"/>
          </w:tcPr>
          <w:p w14:paraId="242A4988">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147A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continue"/>
            <w:noWrap w:val="0"/>
            <w:vAlign w:val="center"/>
          </w:tcPr>
          <w:p w14:paraId="5290150A">
            <w:pPr>
              <w:autoSpaceDE w:val="0"/>
              <w:autoSpaceDN w:val="0"/>
              <w:adjustRightInd w:val="0"/>
              <w:spacing w:line="300" w:lineRule="auto"/>
              <w:rPr>
                <w:rFonts w:hint="default" w:ascii="Times New Roman" w:hAnsi="Times New Roman" w:cs="Times New Roman"/>
                <w:color w:val="000000"/>
                <w:sz w:val="20"/>
                <w:szCs w:val="20"/>
              </w:rPr>
            </w:pPr>
          </w:p>
        </w:tc>
        <w:tc>
          <w:tcPr>
            <w:tcW w:w="3993" w:type="dxa"/>
            <w:gridSpan w:val="2"/>
            <w:noWrap w:val="0"/>
            <w:vAlign w:val="center"/>
          </w:tcPr>
          <w:p w14:paraId="1EAC1E7C">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9.城镇居民人均可支配收入增长率（%）</w:t>
            </w:r>
          </w:p>
        </w:tc>
        <w:tc>
          <w:tcPr>
            <w:tcW w:w="1050" w:type="dxa"/>
            <w:noWrap w:val="0"/>
            <w:vAlign w:val="center"/>
          </w:tcPr>
          <w:p w14:paraId="207398CE">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lang w:val="en-US" w:eastAsia="zh-CN"/>
              </w:rPr>
              <w:t>4.1</w:t>
            </w:r>
          </w:p>
        </w:tc>
        <w:tc>
          <w:tcPr>
            <w:tcW w:w="1213" w:type="dxa"/>
            <w:noWrap w:val="0"/>
            <w:vAlign w:val="center"/>
          </w:tcPr>
          <w:p w14:paraId="1757CD8A">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eastAsia="等线" w:cs="Times New Roman"/>
                <w:color w:val="000000"/>
                <w:sz w:val="20"/>
                <w:szCs w:val="20"/>
                <w:lang w:val="en-US" w:eastAsia="zh-CN"/>
              </w:rPr>
              <w:t>4.5</w:t>
            </w:r>
          </w:p>
        </w:tc>
        <w:tc>
          <w:tcPr>
            <w:tcW w:w="1337" w:type="dxa"/>
            <w:noWrap w:val="0"/>
            <w:vAlign w:val="center"/>
          </w:tcPr>
          <w:p w14:paraId="063E9564">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lang w:val="en-US" w:eastAsia="zh-CN"/>
              </w:rPr>
              <w:t>4.5</w:t>
            </w:r>
            <w:r>
              <w:rPr>
                <w:rFonts w:hint="default" w:ascii="Times New Roman" w:hAnsi="Times New Roman" w:cs="Times New Roman"/>
                <w:color w:val="000000"/>
                <w:sz w:val="20"/>
                <w:szCs w:val="20"/>
              </w:rPr>
              <w:t>(年均)</w:t>
            </w:r>
          </w:p>
        </w:tc>
        <w:tc>
          <w:tcPr>
            <w:tcW w:w="938" w:type="dxa"/>
            <w:noWrap w:val="0"/>
            <w:vAlign w:val="center"/>
          </w:tcPr>
          <w:p w14:paraId="456FEFAE">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0E98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continue"/>
            <w:noWrap w:val="0"/>
            <w:vAlign w:val="center"/>
          </w:tcPr>
          <w:p w14:paraId="7C96A00B">
            <w:pPr>
              <w:autoSpaceDE w:val="0"/>
              <w:autoSpaceDN w:val="0"/>
              <w:adjustRightInd w:val="0"/>
              <w:spacing w:line="300" w:lineRule="auto"/>
              <w:rPr>
                <w:rFonts w:hint="default" w:ascii="Times New Roman" w:hAnsi="Times New Roman" w:cs="Times New Roman"/>
                <w:color w:val="000000"/>
                <w:sz w:val="20"/>
                <w:szCs w:val="20"/>
              </w:rPr>
            </w:pPr>
          </w:p>
        </w:tc>
        <w:tc>
          <w:tcPr>
            <w:tcW w:w="3993" w:type="dxa"/>
            <w:gridSpan w:val="2"/>
            <w:noWrap w:val="0"/>
            <w:vAlign w:val="center"/>
          </w:tcPr>
          <w:p w14:paraId="4E477FFE">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10.农村居民人均可支配收入增长率（%）</w:t>
            </w:r>
          </w:p>
        </w:tc>
        <w:tc>
          <w:tcPr>
            <w:tcW w:w="1050" w:type="dxa"/>
            <w:noWrap w:val="0"/>
            <w:vAlign w:val="center"/>
          </w:tcPr>
          <w:p w14:paraId="5D942967">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rPr>
              <w:t>6</w:t>
            </w:r>
            <w:r>
              <w:rPr>
                <w:rFonts w:hint="default" w:ascii="Times New Roman" w:hAnsi="Times New Roman" w:cs="Times New Roman"/>
                <w:color w:val="000000"/>
                <w:sz w:val="20"/>
                <w:szCs w:val="20"/>
                <w:lang w:val="en-US" w:eastAsia="zh-CN"/>
              </w:rPr>
              <w:t>.3</w:t>
            </w:r>
          </w:p>
        </w:tc>
        <w:tc>
          <w:tcPr>
            <w:tcW w:w="1213" w:type="dxa"/>
            <w:noWrap w:val="0"/>
            <w:vAlign w:val="center"/>
          </w:tcPr>
          <w:p w14:paraId="20D5B60E">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lang w:val="en-US" w:eastAsia="zh-CN"/>
              </w:rPr>
              <w:t>6.5</w:t>
            </w:r>
          </w:p>
        </w:tc>
        <w:tc>
          <w:tcPr>
            <w:tcW w:w="1337" w:type="dxa"/>
            <w:noWrap w:val="0"/>
            <w:vAlign w:val="center"/>
          </w:tcPr>
          <w:p w14:paraId="1CF12AAB">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6.5(年均)</w:t>
            </w:r>
          </w:p>
        </w:tc>
        <w:tc>
          <w:tcPr>
            <w:tcW w:w="938" w:type="dxa"/>
            <w:noWrap w:val="0"/>
            <w:vAlign w:val="center"/>
          </w:tcPr>
          <w:p w14:paraId="7EC8D675">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07D8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continue"/>
            <w:noWrap w:val="0"/>
            <w:vAlign w:val="center"/>
          </w:tcPr>
          <w:p w14:paraId="2ED2DF27">
            <w:pPr>
              <w:autoSpaceDE w:val="0"/>
              <w:autoSpaceDN w:val="0"/>
              <w:adjustRightInd w:val="0"/>
              <w:spacing w:line="300" w:lineRule="auto"/>
              <w:rPr>
                <w:rFonts w:hint="default" w:ascii="Times New Roman" w:hAnsi="Times New Roman" w:cs="Times New Roman"/>
                <w:color w:val="000000"/>
                <w:sz w:val="20"/>
                <w:szCs w:val="20"/>
              </w:rPr>
            </w:pPr>
          </w:p>
        </w:tc>
        <w:tc>
          <w:tcPr>
            <w:tcW w:w="3993" w:type="dxa"/>
            <w:gridSpan w:val="2"/>
            <w:noWrap w:val="0"/>
            <w:vAlign w:val="center"/>
          </w:tcPr>
          <w:p w14:paraId="4231EE52">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auto"/>
                <w:sz w:val="20"/>
                <w:szCs w:val="20"/>
              </w:rPr>
              <w:t>11.劳动年龄人口平均受教育年限（年）</w:t>
            </w:r>
          </w:p>
        </w:tc>
        <w:tc>
          <w:tcPr>
            <w:tcW w:w="1050" w:type="dxa"/>
            <w:noWrap w:val="0"/>
            <w:vAlign w:val="center"/>
          </w:tcPr>
          <w:p w14:paraId="7FE87163">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11.3</w:t>
            </w:r>
          </w:p>
        </w:tc>
        <w:tc>
          <w:tcPr>
            <w:tcW w:w="1213" w:type="dxa"/>
            <w:noWrap w:val="0"/>
            <w:vAlign w:val="center"/>
          </w:tcPr>
          <w:p w14:paraId="1CCCE302">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11.6</w:t>
            </w:r>
          </w:p>
        </w:tc>
        <w:tc>
          <w:tcPr>
            <w:tcW w:w="1337" w:type="dxa"/>
            <w:noWrap w:val="0"/>
            <w:vAlign w:val="center"/>
          </w:tcPr>
          <w:p w14:paraId="7B764598">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938" w:type="dxa"/>
            <w:noWrap w:val="0"/>
            <w:vAlign w:val="center"/>
          </w:tcPr>
          <w:p w14:paraId="5AA91B22">
            <w:pPr>
              <w:autoSpaceDE w:val="0"/>
              <w:autoSpaceDN w:val="0"/>
              <w:adjustRightInd w:val="0"/>
              <w:spacing w:line="300" w:lineRule="auto"/>
              <w:jc w:val="center"/>
              <w:rPr>
                <w:rFonts w:hint="default" w:ascii="Times New Roman" w:hAnsi="Times New Roman" w:cs="Times New Roman"/>
                <w:color w:val="000000"/>
                <w:sz w:val="20"/>
                <w:szCs w:val="20"/>
              </w:rPr>
            </w:pPr>
            <w:r>
              <w:rPr>
                <w:rFonts w:hint="eastAsia" w:cs="Times New Roman"/>
                <w:color w:val="000000"/>
                <w:sz w:val="20"/>
                <w:szCs w:val="20"/>
                <w:lang w:val="en-US" w:eastAsia="zh-CN"/>
              </w:rPr>
              <w:t>约束</w:t>
            </w:r>
            <w:r>
              <w:rPr>
                <w:rFonts w:hint="default" w:ascii="Times New Roman" w:hAnsi="Times New Roman" w:cs="Times New Roman"/>
                <w:color w:val="000000"/>
                <w:sz w:val="20"/>
                <w:szCs w:val="20"/>
              </w:rPr>
              <w:t>性</w:t>
            </w:r>
          </w:p>
        </w:tc>
      </w:tr>
      <w:tr w14:paraId="198C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057" w:type="dxa"/>
            <w:vMerge w:val="continue"/>
            <w:noWrap w:val="0"/>
            <w:vAlign w:val="center"/>
          </w:tcPr>
          <w:p w14:paraId="431ECAFD">
            <w:pPr>
              <w:autoSpaceDE w:val="0"/>
              <w:autoSpaceDN w:val="0"/>
              <w:adjustRightInd w:val="0"/>
              <w:spacing w:line="300" w:lineRule="auto"/>
              <w:rPr>
                <w:rFonts w:hint="default" w:ascii="Times New Roman" w:hAnsi="Times New Roman" w:cs="Times New Roman"/>
                <w:color w:val="000000"/>
                <w:sz w:val="20"/>
                <w:szCs w:val="20"/>
              </w:rPr>
            </w:pPr>
          </w:p>
        </w:tc>
        <w:tc>
          <w:tcPr>
            <w:tcW w:w="1688" w:type="dxa"/>
            <w:vMerge w:val="restart"/>
            <w:noWrap w:val="0"/>
            <w:vAlign w:val="center"/>
          </w:tcPr>
          <w:p w14:paraId="54C8AB0E">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12.每千人口拥有医护人员数</w:t>
            </w:r>
          </w:p>
        </w:tc>
        <w:tc>
          <w:tcPr>
            <w:tcW w:w="2305" w:type="dxa"/>
            <w:noWrap w:val="0"/>
            <w:vAlign w:val="center"/>
          </w:tcPr>
          <w:p w14:paraId="1BBCBFFF">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执业（助理）医师数</w:t>
            </w:r>
          </w:p>
        </w:tc>
        <w:tc>
          <w:tcPr>
            <w:tcW w:w="1050" w:type="dxa"/>
            <w:noWrap w:val="0"/>
            <w:vAlign w:val="center"/>
          </w:tcPr>
          <w:p w14:paraId="2C41AE47">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4.6</w:t>
            </w:r>
          </w:p>
        </w:tc>
        <w:tc>
          <w:tcPr>
            <w:tcW w:w="1213" w:type="dxa"/>
            <w:noWrap w:val="0"/>
            <w:vAlign w:val="center"/>
          </w:tcPr>
          <w:p w14:paraId="42397C56">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4.9</w:t>
            </w:r>
          </w:p>
        </w:tc>
        <w:tc>
          <w:tcPr>
            <w:tcW w:w="1337" w:type="dxa"/>
            <w:noWrap w:val="0"/>
            <w:vAlign w:val="center"/>
          </w:tcPr>
          <w:p w14:paraId="58971B2D">
            <w:pPr>
              <w:autoSpaceDE w:val="0"/>
              <w:autoSpaceDN w:val="0"/>
              <w:adjustRightInd w:val="0"/>
              <w:spacing w:line="300" w:lineRule="auto"/>
              <w:jc w:val="center"/>
              <w:rPr>
                <w:rFonts w:hint="default" w:ascii="Times New Roman" w:hAnsi="Times New Roman" w:eastAsia="等线" w:cs="Times New Roman"/>
                <w:color w:val="FF0000"/>
                <w:sz w:val="20"/>
                <w:szCs w:val="20"/>
                <w:lang w:eastAsia="zh-CN"/>
              </w:rPr>
            </w:pPr>
            <w:r>
              <w:rPr>
                <w:rFonts w:hint="default" w:ascii="Times New Roman" w:hAnsi="Times New Roman" w:cs="Times New Roman"/>
                <w:color w:val="000000"/>
                <w:sz w:val="20"/>
                <w:szCs w:val="20"/>
              </w:rPr>
              <w:t>—</w:t>
            </w:r>
          </w:p>
        </w:tc>
        <w:tc>
          <w:tcPr>
            <w:tcW w:w="938" w:type="dxa"/>
            <w:noWrap w:val="0"/>
            <w:vAlign w:val="center"/>
          </w:tcPr>
          <w:p w14:paraId="1F2923F1">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289B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057" w:type="dxa"/>
            <w:vMerge w:val="continue"/>
            <w:noWrap w:val="0"/>
            <w:vAlign w:val="center"/>
          </w:tcPr>
          <w:p w14:paraId="2437887C">
            <w:pPr>
              <w:autoSpaceDE w:val="0"/>
              <w:autoSpaceDN w:val="0"/>
              <w:adjustRightInd w:val="0"/>
              <w:spacing w:line="300" w:lineRule="auto"/>
              <w:rPr>
                <w:rFonts w:hint="default" w:ascii="Times New Roman" w:hAnsi="Times New Roman" w:cs="Times New Roman"/>
                <w:color w:val="000000"/>
                <w:sz w:val="20"/>
                <w:szCs w:val="20"/>
              </w:rPr>
            </w:pPr>
          </w:p>
        </w:tc>
        <w:tc>
          <w:tcPr>
            <w:tcW w:w="1688" w:type="dxa"/>
            <w:vMerge w:val="continue"/>
            <w:noWrap w:val="0"/>
            <w:vAlign w:val="center"/>
          </w:tcPr>
          <w:p w14:paraId="369412BB">
            <w:pPr>
              <w:autoSpaceDE w:val="0"/>
              <w:autoSpaceDN w:val="0"/>
              <w:adjustRightInd w:val="0"/>
              <w:spacing w:line="300" w:lineRule="auto"/>
              <w:rPr>
                <w:rFonts w:hint="default" w:ascii="Times New Roman" w:hAnsi="Times New Roman" w:cs="Times New Roman"/>
                <w:color w:val="auto"/>
                <w:sz w:val="20"/>
                <w:szCs w:val="20"/>
              </w:rPr>
            </w:pPr>
          </w:p>
        </w:tc>
        <w:tc>
          <w:tcPr>
            <w:tcW w:w="2305" w:type="dxa"/>
            <w:noWrap w:val="0"/>
            <w:vAlign w:val="center"/>
          </w:tcPr>
          <w:p w14:paraId="507F12D2">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注册护士数（人）</w:t>
            </w:r>
          </w:p>
        </w:tc>
        <w:tc>
          <w:tcPr>
            <w:tcW w:w="1050" w:type="dxa"/>
            <w:noWrap w:val="0"/>
            <w:vAlign w:val="center"/>
          </w:tcPr>
          <w:p w14:paraId="2FF5F993">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4.34</w:t>
            </w:r>
          </w:p>
        </w:tc>
        <w:tc>
          <w:tcPr>
            <w:tcW w:w="1213" w:type="dxa"/>
            <w:noWrap w:val="0"/>
            <w:vAlign w:val="center"/>
          </w:tcPr>
          <w:p w14:paraId="6E4EE76B">
            <w:pPr>
              <w:autoSpaceDE w:val="0"/>
              <w:autoSpaceDN w:val="0"/>
              <w:adjustRightInd w:val="0"/>
              <w:spacing w:line="300" w:lineRule="auto"/>
              <w:jc w:val="center"/>
              <w:rPr>
                <w:rFonts w:hint="eastAsia" w:ascii="Times New Roman" w:hAnsi="Times New Roman" w:eastAsia="宋体" w:cs="Times New Roman"/>
                <w:color w:val="000000"/>
                <w:sz w:val="20"/>
                <w:szCs w:val="20"/>
                <w:lang w:eastAsia="zh-CN"/>
              </w:rPr>
            </w:pPr>
            <w:r>
              <w:rPr>
                <w:rFonts w:hint="eastAsia" w:cs="Times New Roman"/>
                <w:color w:val="000000"/>
                <w:sz w:val="20"/>
                <w:szCs w:val="20"/>
                <w:lang w:val="en-US" w:eastAsia="zh-CN"/>
              </w:rPr>
              <w:t>4</w:t>
            </w:r>
            <w:r>
              <w:rPr>
                <w:rFonts w:hint="default" w:ascii="Times New Roman" w:hAnsi="Times New Roman" w:cs="Times New Roman"/>
                <w:color w:val="000000"/>
                <w:sz w:val="20"/>
                <w:szCs w:val="20"/>
              </w:rPr>
              <w:t>.</w:t>
            </w:r>
            <w:r>
              <w:rPr>
                <w:rFonts w:hint="eastAsia" w:cs="Times New Roman"/>
                <w:color w:val="000000"/>
                <w:sz w:val="20"/>
                <w:szCs w:val="20"/>
                <w:lang w:val="en-US" w:eastAsia="zh-CN"/>
              </w:rPr>
              <w:t>8</w:t>
            </w:r>
          </w:p>
        </w:tc>
        <w:tc>
          <w:tcPr>
            <w:tcW w:w="1337" w:type="dxa"/>
            <w:noWrap w:val="0"/>
            <w:vAlign w:val="center"/>
          </w:tcPr>
          <w:p w14:paraId="339A2DC3">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938" w:type="dxa"/>
            <w:noWrap w:val="0"/>
            <w:vAlign w:val="center"/>
          </w:tcPr>
          <w:p w14:paraId="638E606E">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7443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continue"/>
            <w:noWrap w:val="0"/>
            <w:vAlign w:val="center"/>
          </w:tcPr>
          <w:p w14:paraId="27BA3153">
            <w:pPr>
              <w:autoSpaceDE w:val="0"/>
              <w:autoSpaceDN w:val="0"/>
              <w:adjustRightInd w:val="0"/>
              <w:spacing w:line="300" w:lineRule="auto"/>
              <w:rPr>
                <w:rFonts w:hint="default" w:ascii="Times New Roman" w:hAnsi="Times New Roman" w:cs="Times New Roman"/>
                <w:color w:val="000000"/>
                <w:sz w:val="20"/>
                <w:szCs w:val="20"/>
              </w:rPr>
            </w:pPr>
          </w:p>
        </w:tc>
        <w:tc>
          <w:tcPr>
            <w:tcW w:w="3993" w:type="dxa"/>
            <w:gridSpan w:val="2"/>
            <w:noWrap w:val="0"/>
            <w:vAlign w:val="center"/>
          </w:tcPr>
          <w:p w14:paraId="57135086">
            <w:pPr>
              <w:autoSpaceDE w:val="0"/>
              <w:autoSpaceDN w:val="0"/>
              <w:adjustRightInd w:val="0"/>
              <w:spacing w:line="300" w:lineRule="auto"/>
              <w:rPr>
                <w:rFonts w:hint="default" w:ascii="Times New Roman" w:hAnsi="Times New Roman" w:cs="Times New Roman"/>
                <w:color w:val="C00000"/>
                <w:sz w:val="20"/>
                <w:szCs w:val="20"/>
              </w:rPr>
            </w:pPr>
            <w:r>
              <w:rPr>
                <w:rFonts w:hint="default" w:ascii="Times New Roman" w:hAnsi="Times New Roman" w:cs="Times New Roman"/>
                <w:color w:val="auto"/>
                <w:sz w:val="20"/>
                <w:szCs w:val="20"/>
              </w:rPr>
              <w:t>13.养老机构护理型床位占比（%）</w:t>
            </w:r>
          </w:p>
        </w:tc>
        <w:tc>
          <w:tcPr>
            <w:tcW w:w="1050" w:type="dxa"/>
            <w:noWrap w:val="0"/>
            <w:vAlign w:val="center"/>
          </w:tcPr>
          <w:p w14:paraId="089BD5D1">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70</w:t>
            </w:r>
          </w:p>
        </w:tc>
        <w:tc>
          <w:tcPr>
            <w:tcW w:w="1213" w:type="dxa"/>
            <w:noWrap w:val="0"/>
            <w:vAlign w:val="center"/>
          </w:tcPr>
          <w:p w14:paraId="4B4324AA">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lang w:val="en-US" w:eastAsia="zh-CN"/>
              </w:rPr>
              <w:t>100</w:t>
            </w:r>
          </w:p>
        </w:tc>
        <w:tc>
          <w:tcPr>
            <w:tcW w:w="1337" w:type="dxa"/>
            <w:noWrap w:val="0"/>
            <w:vAlign w:val="center"/>
          </w:tcPr>
          <w:p w14:paraId="5F8D0421">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rPr>
              <w:t>—</w:t>
            </w:r>
          </w:p>
        </w:tc>
        <w:tc>
          <w:tcPr>
            <w:tcW w:w="938" w:type="dxa"/>
            <w:noWrap w:val="0"/>
            <w:vAlign w:val="center"/>
          </w:tcPr>
          <w:p w14:paraId="337FA88F">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06EF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exact"/>
          <w:jc w:val="center"/>
        </w:trPr>
        <w:tc>
          <w:tcPr>
            <w:tcW w:w="1057" w:type="dxa"/>
            <w:vMerge w:val="continue"/>
            <w:noWrap w:val="0"/>
            <w:vAlign w:val="center"/>
          </w:tcPr>
          <w:p w14:paraId="4A1309FC">
            <w:pPr>
              <w:autoSpaceDE w:val="0"/>
              <w:autoSpaceDN w:val="0"/>
              <w:adjustRightInd w:val="0"/>
              <w:spacing w:line="300" w:lineRule="auto"/>
              <w:rPr>
                <w:rFonts w:hint="default" w:ascii="Times New Roman" w:hAnsi="Times New Roman" w:cs="Times New Roman"/>
                <w:color w:val="000000"/>
                <w:sz w:val="20"/>
                <w:szCs w:val="20"/>
              </w:rPr>
            </w:pPr>
          </w:p>
        </w:tc>
        <w:tc>
          <w:tcPr>
            <w:tcW w:w="3993" w:type="dxa"/>
            <w:gridSpan w:val="2"/>
            <w:noWrap w:val="0"/>
            <w:vAlign w:val="center"/>
          </w:tcPr>
          <w:p w14:paraId="21EE9116">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auto"/>
                <w:sz w:val="20"/>
                <w:szCs w:val="20"/>
              </w:rPr>
              <w:t>14.3岁以下婴幼儿入托率提高（百分点）</w:t>
            </w:r>
          </w:p>
        </w:tc>
        <w:tc>
          <w:tcPr>
            <w:tcW w:w="1050" w:type="dxa"/>
            <w:noWrap w:val="0"/>
            <w:vAlign w:val="center"/>
          </w:tcPr>
          <w:p w14:paraId="3F59A7F9">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rPr>
              <w:t>—</w:t>
            </w:r>
          </w:p>
        </w:tc>
        <w:tc>
          <w:tcPr>
            <w:tcW w:w="1213" w:type="dxa"/>
            <w:noWrap w:val="0"/>
            <w:vAlign w:val="center"/>
          </w:tcPr>
          <w:p w14:paraId="7D52A898">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rPr>
              <w:t>—</w:t>
            </w:r>
          </w:p>
        </w:tc>
        <w:tc>
          <w:tcPr>
            <w:tcW w:w="1337" w:type="dxa"/>
            <w:noWrap w:val="0"/>
            <w:vAlign w:val="center"/>
          </w:tcPr>
          <w:p w14:paraId="463F7BC3">
            <w:pPr>
              <w:autoSpaceDE w:val="0"/>
              <w:autoSpaceDN w:val="0"/>
              <w:adjustRightInd w:val="0"/>
              <w:spacing w:line="300" w:lineRule="auto"/>
              <w:ind w:firstLine="440"/>
              <w:jc w:val="both"/>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rPr>
              <w:t>—</w:t>
            </w:r>
          </w:p>
        </w:tc>
        <w:tc>
          <w:tcPr>
            <w:tcW w:w="938" w:type="dxa"/>
            <w:noWrap w:val="0"/>
            <w:vAlign w:val="center"/>
          </w:tcPr>
          <w:p w14:paraId="4E23601E">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预期性</w:t>
            </w:r>
          </w:p>
        </w:tc>
      </w:tr>
      <w:tr w14:paraId="2A36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1057" w:type="dxa"/>
            <w:vMerge w:val="continue"/>
            <w:noWrap w:val="0"/>
            <w:vAlign w:val="center"/>
          </w:tcPr>
          <w:p w14:paraId="6BD7457F">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6F201CCB">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15.人均预期寿命（岁）</w:t>
            </w:r>
          </w:p>
        </w:tc>
        <w:tc>
          <w:tcPr>
            <w:tcW w:w="1050" w:type="dxa"/>
            <w:noWrap w:val="0"/>
            <w:vAlign w:val="center"/>
          </w:tcPr>
          <w:p w14:paraId="1CD74F3C">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78</w:t>
            </w:r>
          </w:p>
        </w:tc>
        <w:tc>
          <w:tcPr>
            <w:tcW w:w="1213" w:type="dxa"/>
            <w:noWrap w:val="0"/>
            <w:vAlign w:val="center"/>
          </w:tcPr>
          <w:p w14:paraId="0579297F">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79</w:t>
            </w:r>
          </w:p>
        </w:tc>
        <w:tc>
          <w:tcPr>
            <w:tcW w:w="1337" w:type="dxa"/>
            <w:noWrap w:val="0"/>
            <w:vAlign w:val="center"/>
          </w:tcPr>
          <w:p w14:paraId="702A5BD8">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w:t>
            </w:r>
          </w:p>
        </w:tc>
        <w:tc>
          <w:tcPr>
            <w:tcW w:w="938" w:type="dxa"/>
            <w:noWrap w:val="0"/>
            <w:vAlign w:val="center"/>
          </w:tcPr>
          <w:p w14:paraId="2822C6A1">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预期性</w:t>
            </w:r>
          </w:p>
        </w:tc>
      </w:tr>
      <w:tr w14:paraId="3E4A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jc w:val="center"/>
        </w:trPr>
        <w:tc>
          <w:tcPr>
            <w:tcW w:w="1057" w:type="dxa"/>
            <w:vMerge w:val="restart"/>
            <w:noWrap w:val="0"/>
            <w:vAlign w:val="center"/>
          </w:tcPr>
          <w:p w14:paraId="3830012B">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绿色低碳</w:t>
            </w:r>
          </w:p>
        </w:tc>
        <w:tc>
          <w:tcPr>
            <w:tcW w:w="3993" w:type="dxa"/>
            <w:gridSpan w:val="2"/>
            <w:noWrap w:val="0"/>
            <w:vAlign w:val="center"/>
          </w:tcPr>
          <w:p w14:paraId="5D481DD0">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16.单位GDP二氧化碳排放降低（%）</w:t>
            </w:r>
          </w:p>
        </w:tc>
        <w:tc>
          <w:tcPr>
            <w:tcW w:w="1050" w:type="dxa"/>
            <w:noWrap w:val="0"/>
            <w:vAlign w:val="center"/>
          </w:tcPr>
          <w:p w14:paraId="06C42619">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1213" w:type="dxa"/>
            <w:noWrap w:val="0"/>
            <w:vAlign w:val="center"/>
          </w:tcPr>
          <w:p w14:paraId="15298160">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1337" w:type="dxa"/>
            <w:noWrap w:val="0"/>
            <w:vAlign w:val="center"/>
          </w:tcPr>
          <w:p w14:paraId="266EA139">
            <w:pPr>
              <w:autoSpaceDE w:val="0"/>
              <w:autoSpaceDN w:val="0"/>
              <w:adjustRightInd w:val="0"/>
              <w:spacing w:line="300" w:lineRule="auto"/>
              <w:jc w:val="center"/>
              <w:rPr>
                <w:rFonts w:hint="default" w:ascii="Times New Roman" w:hAnsi="Times New Roman" w:eastAsia="等线" w:cs="Times New Roman"/>
                <w:color w:val="000000"/>
                <w:sz w:val="20"/>
                <w:szCs w:val="20"/>
              </w:rPr>
            </w:pPr>
            <w:r>
              <w:rPr>
                <w:rFonts w:hint="default" w:ascii="Times New Roman" w:hAnsi="Times New Roman" w:eastAsia="等线" w:cs="Times New Roman"/>
                <w:color w:val="000000"/>
                <w:sz w:val="20"/>
                <w:szCs w:val="20"/>
              </w:rPr>
              <w:t>[达到市要求]</w:t>
            </w:r>
          </w:p>
        </w:tc>
        <w:tc>
          <w:tcPr>
            <w:tcW w:w="938" w:type="dxa"/>
            <w:noWrap w:val="0"/>
            <w:vAlign w:val="center"/>
          </w:tcPr>
          <w:p w14:paraId="1D7525FA">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约束性</w:t>
            </w:r>
          </w:p>
        </w:tc>
      </w:tr>
      <w:tr w14:paraId="499D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exact"/>
          <w:jc w:val="center"/>
        </w:trPr>
        <w:tc>
          <w:tcPr>
            <w:tcW w:w="1057" w:type="dxa"/>
            <w:vMerge w:val="continue"/>
            <w:noWrap w:val="0"/>
            <w:vAlign w:val="center"/>
          </w:tcPr>
          <w:p w14:paraId="5F1DDEB4">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6E01A83D">
            <w:pPr>
              <w:autoSpaceDE w:val="0"/>
              <w:autoSpaceDN w:val="0"/>
              <w:adjustRightInd w:val="0"/>
              <w:spacing w:line="300" w:lineRule="auto"/>
              <w:rPr>
                <w:rFonts w:hint="default" w:ascii="Times New Roman" w:hAnsi="Times New Roman" w:cs="Times New Roman"/>
                <w:b/>
                <w:bCs/>
                <w:color w:val="000000"/>
                <w:sz w:val="20"/>
                <w:szCs w:val="20"/>
              </w:rPr>
            </w:pPr>
            <w:r>
              <w:rPr>
                <w:rFonts w:hint="default" w:ascii="Times New Roman" w:hAnsi="Times New Roman" w:cs="Times New Roman"/>
                <w:color w:val="auto"/>
                <w:sz w:val="20"/>
                <w:szCs w:val="20"/>
              </w:rPr>
              <w:t>17.非化石能源占能源消费总量比重（%）</w:t>
            </w:r>
          </w:p>
        </w:tc>
        <w:tc>
          <w:tcPr>
            <w:tcW w:w="1050" w:type="dxa"/>
            <w:noWrap w:val="0"/>
            <w:vAlign w:val="center"/>
          </w:tcPr>
          <w:p w14:paraId="0C60D9A7">
            <w:pPr>
              <w:autoSpaceDE w:val="0"/>
              <w:autoSpaceDN w:val="0"/>
              <w:adjustRightInd w:val="0"/>
              <w:spacing w:line="300" w:lineRule="auto"/>
              <w:jc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0"/>
                <w:szCs w:val="20"/>
              </w:rPr>
              <w:t>—</w:t>
            </w:r>
          </w:p>
        </w:tc>
        <w:tc>
          <w:tcPr>
            <w:tcW w:w="1213" w:type="dxa"/>
            <w:noWrap w:val="0"/>
            <w:vAlign w:val="center"/>
          </w:tcPr>
          <w:p w14:paraId="3DE955AC">
            <w:pPr>
              <w:autoSpaceDE w:val="0"/>
              <w:autoSpaceDN w:val="0"/>
              <w:adjustRightInd w:val="0"/>
              <w:spacing w:line="300" w:lineRule="auto"/>
              <w:jc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0"/>
                <w:szCs w:val="20"/>
              </w:rPr>
              <w:t>—</w:t>
            </w:r>
          </w:p>
        </w:tc>
        <w:tc>
          <w:tcPr>
            <w:tcW w:w="1337" w:type="dxa"/>
            <w:noWrap w:val="0"/>
            <w:vAlign w:val="center"/>
          </w:tcPr>
          <w:p w14:paraId="63F35538">
            <w:pPr>
              <w:autoSpaceDE w:val="0"/>
              <w:autoSpaceDN w:val="0"/>
              <w:adjustRightInd w:val="0"/>
              <w:spacing w:line="300" w:lineRule="auto"/>
              <w:jc w:val="center"/>
              <w:rPr>
                <w:rFonts w:hint="default" w:ascii="Times New Roman" w:hAnsi="Times New Roman" w:eastAsia="等线" w:cs="Times New Roman"/>
                <w:color w:val="000000"/>
                <w:sz w:val="20"/>
                <w:szCs w:val="20"/>
              </w:rPr>
            </w:pPr>
            <w:r>
              <w:rPr>
                <w:rFonts w:hint="default" w:ascii="Times New Roman" w:hAnsi="Times New Roman" w:eastAsia="等线" w:cs="Times New Roman"/>
                <w:color w:val="000000"/>
                <w:sz w:val="20"/>
                <w:szCs w:val="20"/>
              </w:rPr>
              <w:t>完成省下</w:t>
            </w:r>
          </w:p>
          <w:p w14:paraId="748392B3">
            <w:pPr>
              <w:autoSpaceDE w:val="0"/>
              <w:autoSpaceDN w:val="0"/>
              <w:adjustRightInd w:val="0"/>
              <w:spacing w:line="300" w:lineRule="auto"/>
              <w:jc w:val="center"/>
              <w:rPr>
                <w:rFonts w:hint="default" w:ascii="Times New Roman" w:hAnsi="Times New Roman" w:eastAsia="等线" w:cs="Times New Roman"/>
                <w:color w:val="000000"/>
                <w:sz w:val="20"/>
                <w:szCs w:val="20"/>
              </w:rPr>
            </w:pPr>
            <w:r>
              <w:rPr>
                <w:rFonts w:hint="default" w:ascii="Times New Roman" w:hAnsi="Times New Roman" w:eastAsia="等线" w:cs="Times New Roman"/>
                <w:color w:val="000000"/>
                <w:sz w:val="20"/>
                <w:szCs w:val="20"/>
              </w:rPr>
              <w:t>达任务</w:t>
            </w:r>
          </w:p>
        </w:tc>
        <w:tc>
          <w:tcPr>
            <w:tcW w:w="938" w:type="dxa"/>
            <w:noWrap w:val="0"/>
            <w:vAlign w:val="center"/>
          </w:tcPr>
          <w:p w14:paraId="0DBD8785">
            <w:pPr>
              <w:autoSpaceDE w:val="0"/>
              <w:autoSpaceDN w:val="0"/>
              <w:adjustRightInd w:val="0"/>
              <w:spacing w:line="300" w:lineRule="auto"/>
              <w:jc w:val="center"/>
              <w:rPr>
                <w:rFonts w:hint="default" w:ascii="Times New Roman" w:hAnsi="Times New Roman" w:cs="Times New Roman"/>
                <w:b/>
                <w:bCs/>
                <w:color w:val="000000"/>
                <w:sz w:val="20"/>
                <w:szCs w:val="20"/>
              </w:rPr>
            </w:pPr>
            <w:r>
              <w:rPr>
                <w:rFonts w:hint="default" w:ascii="Times New Roman" w:hAnsi="Times New Roman" w:cs="Times New Roman"/>
                <w:color w:val="000000"/>
                <w:sz w:val="20"/>
                <w:szCs w:val="20"/>
              </w:rPr>
              <w:t>约束性</w:t>
            </w:r>
          </w:p>
        </w:tc>
      </w:tr>
      <w:tr w14:paraId="6401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1057" w:type="dxa"/>
            <w:vMerge w:val="continue"/>
            <w:noWrap w:val="0"/>
            <w:vAlign w:val="center"/>
          </w:tcPr>
          <w:p w14:paraId="6E845B32">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3F264435">
            <w:pPr>
              <w:autoSpaceDE w:val="0"/>
              <w:autoSpaceDN w:val="0"/>
              <w:adjustRightInd w:val="0"/>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18.细颗粒物PM2.5浓度降低（微克/立方米）</w:t>
            </w:r>
          </w:p>
        </w:tc>
        <w:tc>
          <w:tcPr>
            <w:tcW w:w="1050" w:type="dxa"/>
            <w:noWrap w:val="0"/>
            <w:vAlign w:val="center"/>
          </w:tcPr>
          <w:p w14:paraId="70A609B4">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lang w:val="en-US" w:eastAsia="zh-CN"/>
              </w:rPr>
              <w:t>39</w:t>
            </w:r>
          </w:p>
        </w:tc>
        <w:tc>
          <w:tcPr>
            <w:tcW w:w="1213" w:type="dxa"/>
            <w:noWrap w:val="0"/>
            <w:vAlign w:val="center"/>
          </w:tcPr>
          <w:p w14:paraId="76564F1B">
            <w:pPr>
              <w:autoSpaceDE w:val="0"/>
              <w:autoSpaceDN w:val="0"/>
              <w:adjustRightInd w:val="0"/>
              <w:spacing w:line="300" w:lineRule="auto"/>
              <w:jc w:val="center"/>
              <w:rPr>
                <w:rFonts w:hint="default" w:ascii="Times New Roman" w:hAnsi="Times New Roman" w:eastAsia="等线" w:cs="Times New Roman"/>
                <w:color w:val="000000"/>
                <w:sz w:val="18"/>
                <w:szCs w:val="18"/>
                <w:lang w:val="en-US" w:eastAsia="zh-CN"/>
              </w:rPr>
            </w:pPr>
            <w:r>
              <w:rPr>
                <w:rFonts w:hint="default" w:ascii="Times New Roman" w:hAnsi="Times New Roman" w:cs="Times New Roman"/>
                <w:color w:val="000000"/>
                <w:sz w:val="20"/>
                <w:szCs w:val="20"/>
              </w:rPr>
              <w:t>—</w:t>
            </w:r>
          </w:p>
        </w:tc>
        <w:tc>
          <w:tcPr>
            <w:tcW w:w="1337" w:type="dxa"/>
            <w:noWrap w:val="0"/>
            <w:vAlign w:val="center"/>
          </w:tcPr>
          <w:p w14:paraId="4E1C475A">
            <w:pPr>
              <w:autoSpaceDE w:val="0"/>
              <w:autoSpaceDN w:val="0"/>
              <w:adjustRightInd w:val="0"/>
              <w:spacing w:line="300" w:lineRule="auto"/>
              <w:jc w:val="center"/>
              <w:rPr>
                <w:rFonts w:hint="default" w:ascii="Times New Roman" w:hAnsi="Times New Roman" w:eastAsia="等线" w:cs="Times New Roman"/>
                <w:color w:val="000000"/>
                <w:sz w:val="20"/>
                <w:szCs w:val="20"/>
              </w:rPr>
            </w:pPr>
            <w:r>
              <w:rPr>
                <w:rFonts w:hint="default" w:ascii="Times New Roman" w:hAnsi="Times New Roman" w:eastAsia="等线" w:cs="Times New Roman"/>
                <w:color w:val="000000"/>
                <w:sz w:val="20"/>
                <w:szCs w:val="20"/>
              </w:rPr>
              <w:t>完成省下</w:t>
            </w:r>
          </w:p>
          <w:p w14:paraId="267D8C3E">
            <w:pPr>
              <w:autoSpaceDE w:val="0"/>
              <w:autoSpaceDN w:val="0"/>
              <w:adjustRightInd w:val="0"/>
              <w:spacing w:line="300" w:lineRule="auto"/>
              <w:jc w:val="center"/>
              <w:rPr>
                <w:rFonts w:hint="default" w:ascii="Times New Roman" w:hAnsi="Times New Roman" w:eastAsia="等线" w:cs="Times New Roman"/>
                <w:color w:val="000000"/>
                <w:sz w:val="18"/>
                <w:szCs w:val="18"/>
                <w:lang w:eastAsia="zh-CN"/>
              </w:rPr>
            </w:pPr>
            <w:r>
              <w:rPr>
                <w:rFonts w:hint="default" w:ascii="Times New Roman" w:hAnsi="Times New Roman" w:eastAsia="等线" w:cs="Times New Roman"/>
                <w:color w:val="000000"/>
                <w:sz w:val="20"/>
                <w:szCs w:val="20"/>
              </w:rPr>
              <w:t>达任务</w:t>
            </w:r>
          </w:p>
        </w:tc>
        <w:tc>
          <w:tcPr>
            <w:tcW w:w="938" w:type="dxa"/>
            <w:noWrap w:val="0"/>
            <w:vAlign w:val="center"/>
          </w:tcPr>
          <w:p w14:paraId="42038E11">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约束性</w:t>
            </w:r>
          </w:p>
        </w:tc>
      </w:tr>
      <w:tr w14:paraId="464F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exact"/>
          <w:jc w:val="center"/>
        </w:trPr>
        <w:tc>
          <w:tcPr>
            <w:tcW w:w="1057" w:type="dxa"/>
            <w:vMerge w:val="continue"/>
            <w:noWrap w:val="0"/>
            <w:vAlign w:val="center"/>
          </w:tcPr>
          <w:p w14:paraId="683A5484">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11E7CB21">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auto"/>
                <w:sz w:val="20"/>
                <w:szCs w:val="20"/>
              </w:rPr>
              <w:t>19.断面达标率（%）</w:t>
            </w:r>
          </w:p>
        </w:tc>
        <w:tc>
          <w:tcPr>
            <w:tcW w:w="1050" w:type="dxa"/>
            <w:noWrap w:val="0"/>
            <w:vAlign w:val="center"/>
          </w:tcPr>
          <w:p w14:paraId="08D81AC8">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w:t>
            </w:r>
          </w:p>
        </w:tc>
        <w:tc>
          <w:tcPr>
            <w:tcW w:w="1213" w:type="dxa"/>
            <w:noWrap w:val="0"/>
            <w:vAlign w:val="center"/>
          </w:tcPr>
          <w:p w14:paraId="30C0BDAC">
            <w:pPr>
              <w:autoSpaceDE w:val="0"/>
              <w:autoSpaceDN w:val="0"/>
              <w:adjustRightInd w:val="0"/>
              <w:spacing w:line="300" w:lineRule="auto"/>
              <w:jc w:val="center"/>
              <w:rPr>
                <w:rFonts w:hint="default" w:ascii="Times New Roman" w:hAnsi="Times New Roman" w:eastAsia="等线" w:cs="Times New Roman"/>
                <w:color w:val="000000"/>
                <w:sz w:val="18"/>
                <w:szCs w:val="18"/>
                <w:lang w:eastAsia="zh-CN"/>
              </w:rPr>
            </w:pPr>
            <w:r>
              <w:rPr>
                <w:rFonts w:hint="default" w:ascii="Times New Roman" w:hAnsi="Times New Roman" w:cs="Times New Roman"/>
                <w:color w:val="000000"/>
                <w:sz w:val="20"/>
                <w:szCs w:val="20"/>
              </w:rPr>
              <w:t>—</w:t>
            </w:r>
          </w:p>
        </w:tc>
        <w:tc>
          <w:tcPr>
            <w:tcW w:w="1337" w:type="dxa"/>
            <w:noWrap w:val="0"/>
            <w:vAlign w:val="center"/>
          </w:tcPr>
          <w:p w14:paraId="7010E5E6">
            <w:pPr>
              <w:autoSpaceDE w:val="0"/>
              <w:autoSpaceDN w:val="0"/>
              <w:adjustRightInd w:val="0"/>
              <w:spacing w:line="300" w:lineRule="auto"/>
              <w:jc w:val="center"/>
              <w:rPr>
                <w:rFonts w:hint="default" w:ascii="Times New Roman" w:hAnsi="Times New Roman" w:eastAsia="等线" w:cs="Times New Roman"/>
                <w:color w:val="000000"/>
                <w:sz w:val="20"/>
                <w:szCs w:val="20"/>
              </w:rPr>
            </w:pPr>
            <w:r>
              <w:rPr>
                <w:rFonts w:hint="default" w:ascii="Times New Roman" w:hAnsi="Times New Roman" w:eastAsia="等线" w:cs="Times New Roman"/>
                <w:color w:val="000000"/>
                <w:sz w:val="20"/>
                <w:szCs w:val="20"/>
              </w:rPr>
              <w:t>完成省下</w:t>
            </w:r>
          </w:p>
          <w:p w14:paraId="13DDBCA6">
            <w:pPr>
              <w:autoSpaceDE w:val="0"/>
              <w:autoSpaceDN w:val="0"/>
              <w:adjustRightInd w:val="0"/>
              <w:spacing w:line="300" w:lineRule="auto"/>
              <w:jc w:val="center"/>
              <w:rPr>
                <w:rFonts w:hint="default" w:ascii="Times New Roman" w:hAnsi="Times New Roman" w:eastAsia="等线" w:cs="Times New Roman"/>
                <w:color w:val="000000"/>
                <w:sz w:val="18"/>
                <w:szCs w:val="18"/>
                <w:lang w:eastAsia="zh-CN"/>
              </w:rPr>
            </w:pPr>
            <w:r>
              <w:rPr>
                <w:rFonts w:hint="default" w:ascii="Times New Roman" w:hAnsi="Times New Roman" w:eastAsia="等线" w:cs="Times New Roman"/>
                <w:color w:val="000000"/>
                <w:sz w:val="20"/>
                <w:szCs w:val="20"/>
              </w:rPr>
              <w:t>达任务</w:t>
            </w:r>
          </w:p>
        </w:tc>
        <w:tc>
          <w:tcPr>
            <w:tcW w:w="938" w:type="dxa"/>
            <w:noWrap w:val="0"/>
            <w:vAlign w:val="center"/>
          </w:tcPr>
          <w:p w14:paraId="79F93699">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约束性</w:t>
            </w:r>
          </w:p>
        </w:tc>
      </w:tr>
      <w:tr w14:paraId="62B2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057" w:type="dxa"/>
            <w:vMerge w:val="continue"/>
            <w:noWrap w:val="0"/>
            <w:vAlign w:val="center"/>
          </w:tcPr>
          <w:p w14:paraId="3847F744">
            <w:pPr>
              <w:autoSpaceDE w:val="0"/>
              <w:autoSpaceDN w:val="0"/>
              <w:adjustRightInd w:val="0"/>
              <w:spacing w:line="300" w:lineRule="auto"/>
              <w:ind w:firstLine="440"/>
              <w:jc w:val="center"/>
              <w:rPr>
                <w:rFonts w:hint="default" w:ascii="Times New Roman" w:hAnsi="Times New Roman" w:cs="Times New Roman"/>
                <w:color w:val="000000"/>
                <w:sz w:val="20"/>
                <w:szCs w:val="20"/>
              </w:rPr>
            </w:pPr>
          </w:p>
        </w:tc>
        <w:tc>
          <w:tcPr>
            <w:tcW w:w="3993" w:type="dxa"/>
            <w:gridSpan w:val="2"/>
            <w:noWrap w:val="0"/>
            <w:vAlign w:val="center"/>
          </w:tcPr>
          <w:p w14:paraId="3BA5AB3F">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eastAsia="等线" w:cs="Times New Roman"/>
                <w:color w:val="auto"/>
                <w:sz w:val="20"/>
                <w:szCs w:val="20"/>
              </w:rPr>
              <w:t>20.森林覆盖率（%）</w:t>
            </w:r>
          </w:p>
        </w:tc>
        <w:tc>
          <w:tcPr>
            <w:tcW w:w="1050" w:type="dxa"/>
            <w:noWrap w:val="0"/>
            <w:vAlign w:val="center"/>
          </w:tcPr>
          <w:p w14:paraId="41063AA3">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lang w:val="en-US" w:eastAsia="zh-CN"/>
              </w:rPr>
              <w:t>8.47</w:t>
            </w:r>
          </w:p>
        </w:tc>
        <w:tc>
          <w:tcPr>
            <w:tcW w:w="1213" w:type="dxa"/>
            <w:noWrap w:val="0"/>
            <w:vAlign w:val="center"/>
          </w:tcPr>
          <w:p w14:paraId="542D4BE9">
            <w:pPr>
              <w:autoSpaceDE w:val="0"/>
              <w:autoSpaceDN w:val="0"/>
              <w:adjustRightInd w:val="0"/>
              <w:spacing w:line="300" w:lineRule="auto"/>
              <w:jc w:val="center"/>
              <w:rPr>
                <w:rFonts w:hint="eastAsia"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rPr>
              <w:t>—</w:t>
            </w:r>
          </w:p>
        </w:tc>
        <w:tc>
          <w:tcPr>
            <w:tcW w:w="1337" w:type="dxa"/>
            <w:noWrap w:val="0"/>
            <w:vAlign w:val="center"/>
          </w:tcPr>
          <w:p w14:paraId="6B89F173">
            <w:pPr>
              <w:autoSpaceDE w:val="0"/>
              <w:autoSpaceDN w:val="0"/>
              <w:adjustRightInd w:val="0"/>
              <w:spacing w:line="300" w:lineRule="auto"/>
              <w:jc w:val="center"/>
              <w:rPr>
                <w:rFonts w:hint="default" w:ascii="Times New Roman" w:hAnsi="Times New Roman" w:eastAsia="等线" w:cs="Times New Roman"/>
                <w:color w:val="000000"/>
                <w:sz w:val="20"/>
                <w:szCs w:val="20"/>
              </w:rPr>
            </w:pPr>
            <w:r>
              <w:rPr>
                <w:rFonts w:hint="default" w:ascii="Times New Roman" w:hAnsi="Times New Roman" w:eastAsia="等线" w:cs="Times New Roman"/>
                <w:color w:val="000000"/>
                <w:sz w:val="20"/>
                <w:szCs w:val="20"/>
              </w:rPr>
              <w:t>完成省下</w:t>
            </w:r>
          </w:p>
          <w:p w14:paraId="72134C03">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eastAsia="等线" w:cs="Times New Roman"/>
                <w:color w:val="000000"/>
                <w:sz w:val="20"/>
                <w:szCs w:val="20"/>
              </w:rPr>
              <w:t>达任务</w:t>
            </w:r>
          </w:p>
        </w:tc>
        <w:tc>
          <w:tcPr>
            <w:tcW w:w="938" w:type="dxa"/>
            <w:noWrap w:val="0"/>
            <w:vAlign w:val="center"/>
          </w:tcPr>
          <w:p w14:paraId="3D48E97C">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约束性</w:t>
            </w:r>
          </w:p>
        </w:tc>
      </w:tr>
      <w:tr w14:paraId="3171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057" w:type="dxa"/>
            <w:vMerge w:val="restart"/>
            <w:noWrap w:val="0"/>
            <w:vAlign w:val="center"/>
          </w:tcPr>
          <w:p w14:paraId="7C60D307">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安全保障</w:t>
            </w:r>
          </w:p>
        </w:tc>
        <w:tc>
          <w:tcPr>
            <w:tcW w:w="3993" w:type="dxa"/>
            <w:gridSpan w:val="2"/>
            <w:noWrap w:val="0"/>
            <w:vAlign w:val="center"/>
          </w:tcPr>
          <w:p w14:paraId="0A68C81A">
            <w:pPr>
              <w:autoSpaceDE w:val="0"/>
              <w:autoSpaceDN w:val="0"/>
              <w:adjustRightInd w:val="0"/>
              <w:spacing w:line="300" w:lineRule="auto"/>
              <w:rPr>
                <w:rFonts w:hint="default" w:ascii="Times New Roman" w:hAnsi="Times New Roman" w:cs="Times New Roman"/>
                <w:color w:val="000000"/>
                <w:sz w:val="20"/>
                <w:szCs w:val="20"/>
              </w:rPr>
            </w:pPr>
            <w:r>
              <w:rPr>
                <w:rFonts w:hint="default" w:ascii="Times New Roman" w:hAnsi="Times New Roman" w:cs="Times New Roman"/>
                <w:b w:val="0"/>
                <w:bCs w:val="0"/>
                <w:color w:val="auto"/>
                <w:sz w:val="20"/>
                <w:szCs w:val="20"/>
              </w:rPr>
              <w:t>21.粮食综合生产能力（亿斤）</w:t>
            </w:r>
          </w:p>
        </w:tc>
        <w:tc>
          <w:tcPr>
            <w:tcW w:w="1050" w:type="dxa"/>
            <w:noWrap w:val="0"/>
            <w:vAlign w:val="center"/>
          </w:tcPr>
          <w:p w14:paraId="35B4129F">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4.46</w:t>
            </w:r>
          </w:p>
        </w:tc>
        <w:tc>
          <w:tcPr>
            <w:tcW w:w="1213" w:type="dxa"/>
            <w:noWrap w:val="0"/>
            <w:vAlign w:val="center"/>
          </w:tcPr>
          <w:p w14:paraId="281E626F">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default" w:ascii="Times New Roman" w:hAnsi="Times New Roman" w:cs="Times New Roman"/>
                <w:color w:val="000000"/>
                <w:sz w:val="20"/>
                <w:szCs w:val="20"/>
              </w:rPr>
              <w:t>4.5</w:t>
            </w:r>
            <w:r>
              <w:rPr>
                <w:rFonts w:hint="default" w:ascii="Times New Roman" w:hAnsi="Times New Roman" w:cs="Times New Roman"/>
                <w:color w:val="000000"/>
                <w:sz w:val="20"/>
                <w:szCs w:val="20"/>
                <w:lang w:val="en-US" w:eastAsia="zh-CN"/>
              </w:rPr>
              <w:t>7</w:t>
            </w:r>
          </w:p>
        </w:tc>
        <w:tc>
          <w:tcPr>
            <w:tcW w:w="1337" w:type="dxa"/>
            <w:noWrap w:val="0"/>
            <w:vAlign w:val="center"/>
          </w:tcPr>
          <w:p w14:paraId="60C25406">
            <w:pPr>
              <w:autoSpaceDE w:val="0"/>
              <w:autoSpaceDN w:val="0"/>
              <w:adjustRightInd w:val="0"/>
              <w:spacing w:line="300" w:lineRule="auto"/>
              <w:jc w:val="center"/>
              <w:rPr>
                <w:rFonts w:hint="default" w:ascii="Times New Roman" w:hAnsi="Times New Roman" w:eastAsia="等线" w:cs="Times New Roman"/>
                <w:color w:val="000000"/>
                <w:sz w:val="20"/>
                <w:szCs w:val="20"/>
                <w:lang w:val="en-US" w:eastAsia="zh-CN"/>
              </w:rPr>
            </w:pPr>
            <w:r>
              <w:rPr>
                <w:rFonts w:hint="eastAsia" w:cs="Times New Roman"/>
                <w:color w:val="000000"/>
                <w:sz w:val="20"/>
                <w:szCs w:val="20"/>
                <w:lang w:val="en-US" w:eastAsia="zh-CN"/>
              </w:rPr>
              <w:t>[</w:t>
            </w:r>
            <w:r>
              <w:rPr>
                <w:rFonts w:hint="default" w:ascii="Times New Roman" w:hAnsi="Times New Roman" w:cs="Times New Roman"/>
                <w:color w:val="000000"/>
                <w:sz w:val="20"/>
                <w:szCs w:val="20"/>
                <w:lang w:val="en-US" w:eastAsia="zh-CN"/>
              </w:rPr>
              <w:t>0.11</w:t>
            </w:r>
            <w:r>
              <w:rPr>
                <w:rFonts w:hint="eastAsia" w:cs="Times New Roman"/>
                <w:color w:val="000000"/>
                <w:sz w:val="20"/>
                <w:szCs w:val="20"/>
                <w:lang w:val="en-US" w:eastAsia="zh-CN"/>
              </w:rPr>
              <w:t>]</w:t>
            </w:r>
          </w:p>
        </w:tc>
        <w:tc>
          <w:tcPr>
            <w:tcW w:w="938" w:type="dxa"/>
            <w:noWrap w:val="0"/>
            <w:vAlign w:val="center"/>
          </w:tcPr>
          <w:p w14:paraId="79055910">
            <w:pPr>
              <w:autoSpaceDE w:val="0"/>
              <w:autoSpaceDN w:val="0"/>
              <w:adjustRightInd w:val="0"/>
              <w:spacing w:line="30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约束性</w:t>
            </w:r>
          </w:p>
        </w:tc>
      </w:tr>
      <w:tr w14:paraId="6090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57" w:type="dxa"/>
            <w:vMerge w:val="continue"/>
            <w:noWrap w:val="0"/>
            <w:vAlign w:val="center"/>
          </w:tcPr>
          <w:p w14:paraId="20636FFF">
            <w:pPr>
              <w:autoSpaceDE w:val="0"/>
              <w:autoSpaceDN w:val="0"/>
              <w:adjustRightInd w:val="0"/>
              <w:spacing w:line="300" w:lineRule="auto"/>
              <w:ind w:firstLine="640"/>
              <w:jc w:val="center"/>
              <w:rPr>
                <w:rFonts w:hint="default" w:ascii="Times New Roman" w:hAnsi="Times New Roman" w:cs="Times New Roman"/>
                <w:color w:val="000000"/>
                <w:sz w:val="20"/>
                <w:szCs w:val="20"/>
              </w:rPr>
            </w:pPr>
          </w:p>
        </w:tc>
        <w:tc>
          <w:tcPr>
            <w:tcW w:w="3993" w:type="dxa"/>
            <w:gridSpan w:val="2"/>
            <w:noWrap w:val="0"/>
            <w:vAlign w:val="center"/>
          </w:tcPr>
          <w:p w14:paraId="52921F18">
            <w:pPr>
              <w:autoSpaceDE w:val="0"/>
              <w:autoSpaceDN w:val="0"/>
              <w:adjustRightInd w:val="0"/>
              <w:spacing w:line="300" w:lineRule="auto"/>
              <w:rPr>
                <w:rFonts w:hint="default" w:ascii="Times New Roman" w:hAnsi="Times New Roman" w:cs="Times New Roman"/>
                <w:color w:val="auto"/>
                <w:sz w:val="20"/>
                <w:szCs w:val="20"/>
              </w:rPr>
            </w:pPr>
            <w:r>
              <w:rPr>
                <w:rFonts w:hint="default" w:ascii="Times New Roman" w:hAnsi="Times New Roman" w:cs="Times New Roman"/>
                <w:color w:val="auto"/>
                <w:sz w:val="20"/>
                <w:szCs w:val="20"/>
              </w:rPr>
              <w:t>22.能源综合生产能力（万吨标准煤）</w:t>
            </w:r>
          </w:p>
        </w:tc>
        <w:tc>
          <w:tcPr>
            <w:tcW w:w="1050" w:type="dxa"/>
            <w:noWrap w:val="0"/>
            <w:vAlign w:val="center"/>
          </w:tcPr>
          <w:p w14:paraId="4708B206">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19</w:t>
            </w:r>
          </w:p>
        </w:tc>
        <w:tc>
          <w:tcPr>
            <w:tcW w:w="1213" w:type="dxa"/>
            <w:noWrap w:val="0"/>
            <w:vAlign w:val="center"/>
          </w:tcPr>
          <w:p w14:paraId="7D43A3E1">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35</w:t>
            </w:r>
          </w:p>
        </w:tc>
        <w:tc>
          <w:tcPr>
            <w:tcW w:w="1337" w:type="dxa"/>
            <w:noWrap w:val="0"/>
            <w:vAlign w:val="center"/>
          </w:tcPr>
          <w:p w14:paraId="7A960773">
            <w:pPr>
              <w:autoSpaceDE w:val="0"/>
              <w:autoSpaceDN w:val="0"/>
              <w:adjustRightInd w:val="0"/>
              <w:spacing w:line="300" w:lineRule="auto"/>
              <w:jc w:val="center"/>
              <w:rPr>
                <w:rFonts w:hint="default" w:ascii="Times New Roman" w:hAnsi="Times New Roman" w:cs="Times New Roman"/>
                <w:color w:val="auto"/>
                <w:sz w:val="20"/>
                <w:szCs w:val="20"/>
              </w:rPr>
            </w:pPr>
            <w:r>
              <w:rPr>
                <w:rFonts w:hint="eastAsia" w:cs="Times New Roman"/>
                <w:color w:val="auto"/>
                <w:sz w:val="20"/>
                <w:szCs w:val="20"/>
                <w:lang w:val="en-US" w:eastAsia="zh-CN"/>
              </w:rPr>
              <w:t>[</w:t>
            </w:r>
            <w:r>
              <w:rPr>
                <w:rFonts w:hint="default" w:ascii="Times New Roman" w:hAnsi="Times New Roman" w:cs="Times New Roman"/>
                <w:color w:val="auto"/>
                <w:sz w:val="20"/>
                <w:szCs w:val="20"/>
              </w:rPr>
              <w:t>16</w:t>
            </w:r>
            <w:r>
              <w:rPr>
                <w:rFonts w:hint="eastAsia" w:cs="Times New Roman"/>
                <w:color w:val="auto"/>
                <w:sz w:val="20"/>
                <w:szCs w:val="20"/>
                <w:lang w:val="en-US" w:eastAsia="zh-CN"/>
              </w:rPr>
              <w:t>]</w:t>
            </w:r>
          </w:p>
        </w:tc>
        <w:tc>
          <w:tcPr>
            <w:tcW w:w="938" w:type="dxa"/>
            <w:noWrap w:val="0"/>
            <w:vAlign w:val="center"/>
          </w:tcPr>
          <w:p w14:paraId="68E756C5">
            <w:pPr>
              <w:autoSpaceDE w:val="0"/>
              <w:autoSpaceDN w:val="0"/>
              <w:adjustRightInd w:val="0"/>
              <w:spacing w:line="300" w:lineRule="auto"/>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约束性</w:t>
            </w:r>
          </w:p>
        </w:tc>
      </w:tr>
    </w:tbl>
    <w:p w14:paraId="7D4F8597">
      <w:pPr>
        <w:keepNext w:val="0"/>
        <w:keepLines w:val="0"/>
        <w:widowControl/>
        <w:suppressLineNumbers w:val="0"/>
        <w:jc w:val="left"/>
      </w:pPr>
      <w:bookmarkStart w:id="30" w:name="_Toc16648"/>
      <w:bookmarkStart w:id="31" w:name="_Toc27972"/>
      <w:r>
        <w:rPr>
          <w:rFonts w:hint="eastAsia" w:ascii="宋体" w:hAnsi="宋体" w:cs="宋体"/>
          <w:color w:val="000000"/>
          <w:kern w:val="0"/>
          <w:sz w:val="22"/>
          <w:szCs w:val="22"/>
          <w:lang w:val="en-US" w:eastAsia="zh-CN" w:bidi="ar"/>
        </w:rPr>
        <w:t xml:space="preserve">     </w:t>
      </w:r>
      <w:r>
        <w:rPr>
          <w:rFonts w:hint="eastAsia" w:ascii="宋体" w:hAnsi="宋体" w:eastAsia="宋体" w:cs="宋体"/>
          <w:color w:val="000000"/>
          <w:kern w:val="0"/>
          <w:sz w:val="22"/>
          <w:szCs w:val="22"/>
          <w:lang w:val="en-US" w:eastAsia="zh-CN" w:bidi="ar"/>
        </w:rPr>
        <w:t xml:space="preserve">注：① 标注为左右的可上下浮动 0.5 个百分点。 </w:t>
      </w:r>
    </w:p>
    <w:p w14:paraId="00B03C03">
      <w:pPr>
        <w:keepNext w:val="0"/>
        <w:keepLines w:val="0"/>
        <w:widowControl/>
        <w:suppressLineNumbers w:val="0"/>
        <w:jc w:val="left"/>
        <w:rPr>
          <w:color w:val="FF0000"/>
        </w:rPr>
      </w:pPr>
      <w:r>
        <w:rPr>
          <w:rFonts w:hint="eastAsia" w:ascii="宋体" w:hAnsi="宋体" w:cs="宋体"/>
          <w:color w:val="FF0000"/>
          <w:kern w:val="0"/>
          <w:sz w:val="22"/>
          <w:szCs w:val="22"/>
          <w:lang w:val="en-US" w:eastAsia="zh-CN" w:bidi="ar"/>
        </w:rPr>
        <w:t xml:space="preserve">         </w:t>
      </w:r>
      <w:r>
        <w:rPr>
          <w:rFonts w:hint="eastAsia" w:ascii="宋体" w:hAnsi="宋体" w:eastAsia="宋体" w:cs="宋体"/>
          <w:color w:val="auto"/>
          <w:kern w:val="0"/>
          <w:sz w:val="22"/>
          <w:szCs w:val="22"/>
          <w:lang w:val="en-US" w:eastAsia="zh-CN" w:bidi="ar"/>
        </w:rPr>
        <w:t>②［］内为五年累计数。</w:t>
      </w:r>
    </w:p>
    <w:p w14:paraId="72FE96CA">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p>
    <w:p w14:paraId="3A0AFB35">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p>
    <w:p w14:paraId="53188BD1">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p>
    <w:p w14:paraId="746014DF">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p>
    <w:p w14:paraId="5FF73A5A">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p>
    <w:p w14:paraId="6BD22654">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sectPr>
          <w:footerReference r:id="rId7" w:type="default"/>
          <w:pgSz w:w="11906" w:h="16838"/>
          <w:pgMar w:top="1871" w:right="1531" w:bottom="1701" w:left="1531" w:header="851" w:footer="1134" w:gutter="0"/>
          <w:pgNumType w:fmt="numberInDash" w:start="1"/>
          <w:cols w:space="720" w:num="1"/>
          <w:rtlGutter w:val="0"/>
          <w:docGrid w:type="lines" w:linePitch="312" w:charSpace="0"/>
        </w:sectPr>
      </w:pPr>
    </w:p>
    <w:p w14:paraId="6851AE62">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r>
        <w:rPr>
          <w:rFonts w:hint="default" w:ascii="Times New Roman" w:hAnsi="Times New Roman" w:eastAsia="黑体" w:cs="Times New Roman"/>
          <w:bCs/>
          <w:color w:val="000000"/>
          <w:sz w:val="32"/>
          <w:szCs w:val="28"/>
        </w:rPr>
        <w:t>第三章</w:t>
      </w:r>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大力发展特色优势产业，加快建设现代化产业体系</w:t>
      </w:r>
      <w:bookmarkEnd w:id="30"/>
      <w:bookmarkEnd w:id="31"/>
    </w:p>
    <w:p w14:paraId="1C42154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工业立县、产业强县，以智能化、绿色化、融合化为方向，聚力做大做强高端装备关键零部件产业集群，加快壮大新能源战略新兴产业，持续推动食品加工、纺织服装、智能家居等传统产业提档升级，促进创新链产业链资金链人才链深度融合，加快构建现代化产业体系，着力建设制造强县、质量强县。</w:t>
      </w:r>
    </w:p>
    <w:p w14:paraId="092ADF03">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32" w:name="_Toc16453"/>
      <w:bookmarkStart w:id="33" w:name="_Toc23567"/>
      <w:r>
        <w:rPr>
          <w:rFonts w:hint="default" w:ascii="Times New Roman" w:hAnsi="Times New Roman" w:eastAsia="楷体" w:cs="Times New Roman"/>
          <w:b/>
          <w:color w:val="000000"/>
          <w:sz w:val="32"/>
          <w:szCs w:val="28"/>
        </w:rPr>
        <w:t>第一节  做大做强特色产业集群</w:t>
      </w:r>
      <w:bookmarkEnd w:id="32"/>
      <w:bookmarkEnd w:id="33"/>
    </w:p>
    <w:p w14:paraId="650F8BB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制定高端装备关键零部件产业集群发展规划，大力实施共享赋能、产业升级、质量提升、品牌提升、数字改造、开发区提档升级专项行动，加快推动产业集群迈入国家级中小企业特色产业集群，着力打造具有区域较强影响力的高端装备关键零部件制造强县。</w:t>
      </w:r>
    </w:p>
    <w:p w14:paraId="06C26389">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一、实施共享赋能行动</w:t>
      </w:r>
    </w:p>
    <w:p w14:paraId="0F8EC03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1.完善</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四位一体</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共享智造平台，持续提升产业创新能力和市场竞争力。</w:t>
      </w:r>
    </w:p>
    <w:p w14:paraId="6904CCC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1.1推动共享创新研发。</w:t>
      </w:r>
      <w:r>
        <w:rPr>
          <w:rFonts w:hint="default" w:ascii="Times New Roman" w:hAnsi="Times New Roman" w:eastAsia="仿宋_GB2312" w:cs="Times New Roman"/>
          <w:color w:val="000000"/>
          <w:sz w:val="32"/>
          <w:szCs w:val="32"/>
        </w:rPr>
        <w:t>聚焦铸造锻压、机械总成、橡塑配比等关键技术需求，探索</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众筹科研、成果共享</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模式，加大与河北科技大学、青岛科技大学等高校院所合作攻关力度，加快集群关键核心技术联合攻关和成果转化，力争攻克一批集群共性技术难题，形成一批具有自主知识产权的核心技术和工艺包，显著提升集群产品附加值和市场竞争力，推动共享创新研发取得实质成效。</w:t>
      </w:r>
    </w:p>
    <w:p w14:paraId="1621EFB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1.2</w:t>
      </w:r>
      <w:r>
        <w:rPr>
          <w:rFonts w:hint="default" w:ascii="Times New Roman" w:hAnsi="Times New Roman" w:eastAsia="仿宋_GB2312" w:cs="Times New Roman"/>
          <w:b/>
          <w:color w:val="000000"/>
          <w:sz w:val="32"/>
          <w:szCs w:val="32"/>
        </w:rPr>
        <w:t>拓展共享原料集采服务。</w:t>
      </w:r>
      <w:r>
        <w:rPr>
          <w:rFonts w:hint="default" w:ascii="Times New Roman" w:hAnsi="Times New Roman" w:eastAsia="仿宋_GB2312" w:cs="Times New Roman"/>
          <w:color w:val="000000"/>
          <w:sz w:val="32"/>
          <w:szCs w:val="32"/>
        </w:rPr>
        <w:t>支持橡胶供应链集采中心扩规升级，立足产业需求，持续扩大集采规模，拓展集采原料种类，进一步提高原材料集采议价能力，缩短集群企业原料采购周期，降低原料采购和仓储物流成本，缓解企业资金压力。同时，加快建设互联网集采平台，完善市场行情分析、供应商动态评价、供应链金融、智慧物流等功能，提升集采平台智能化、便利化水平。力争到2030年，共享集采产品种类达到50种以上。</w:t>
      </w:r>
    </w:p>
    <w:p w14:paraId="13C0FFEA">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1.3扩大共享密炼加工产能。</w:t>
      </w:r>
      <w:r>
        <w:rPr>
          <w:rFonts w:hint="default" w:ascii="Times New Roman" w:hAnsi="Times New Roman" w:eastAsia="仿宋_GB2312" w:cs="Times New Roman"/>
          <w:color w:val="000000"/>
          <w:sz w:val="32"/>
          <w:szCs w:val="32"/>
        </w:rPr>
        <w:t>稳定黑一、超达、汇朝、北龙共享密炼产能，加快推动巨优科技密炼中心建成投用，实现密炼产能稳定在20万吨以上。支持密炼中心通过技术革新和流程再造，持续改进密炼工艺，推动密炼产能、质量双提升，并为集群企业提供从配方优化、小试、中试到规模化生产的全方位技术支持。在满足县域内需求基础上，积极将成熟的共享密炼管理模式、技术标准和服务能力向区域外相关产业园区进行复制和输出，开展产能协作与技术服务，积极推动密炼产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走出去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p>
    <w:p w14:paraId="49AFE8B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1.4优化共享检验检测服务。</w:t>
      </w:r>
      <w:r>
        <w:rPr>
          <w:rFonts w:hint="default" w:ascii="Times New Roman" w:hAnsi="Times New Roman" w:eastAsia="仿宋_GB2312" w:cs="Times New Roman"/>
          <w:color w:val="000000"/>
          <w:sz w:val="32"/>
          <w:szCs w:val="32"/>
        </w:rPr>
        <w:t>持续优化橡塑制品、食品2大省级检验检测中心服务能力，扩大检验检测产品种类，提升检验检测效能，加强宣传推广，扩展检验检测服务半径，促进集群企业降低产品检验检测成本，并积极推动检验检测服务向产业集群其他领域拓展，着力打造全链条检测体系。力争到2030年，检验检测认证范围达到80种以上，促进集群企业降低检测成本10%左右。</w:t>
      </w:r>
    </w:p>
    <w:p w14:paraId="4B55C67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2.加快</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共享式园中园</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建设，拓展共享链条和范围</w:t>
      </w:r>
      <w:r>
        <w:rPr>
          <w:rFonts w:hint="default" w:ascii="Times New Roman" w:hAnsi="Times New Roman" w:eastAsia="仿宋_GB2312" w:cs="Times New Roman"/>
          <w:color w:val="000000"/>
          <w:sz w:val="32"/>
          <w:szCs w:val="32"/>
        </w:rPr>
        <w:t>。加快推动金银花全产业链、铭达精密配件、农业机械产业园、自行车产业园等园中园建设，完善西郭城智能装备制造产业园、中亮v谷产业园、铭鹿产业园等现有园中园多要素共享机制，促进入园企业向关键设备、产品设计、物流贸易等环节拓展延伸、共建共享，推动入园企业从简单的空间毗邻向深度专业分工、优势资源互补、风险利益共担的战略伙伴关系演进，推动产业形态从单一企业落地向全产业链协同跨越。依托</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共享式园中园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，大力开展链式招商、以商招商，吸引一批在关键环节具有专长、互补性强、共享意愿高的企业入驻，形成一批具有较强市场竞争力和韧性的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微型产业集群</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p>
    <w:p w14:paraId="25171FC7">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二、实施产业升级行动</w:t>
      </w:r>
    </w:p>
    <w:p w14:paraId="0391957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1.推动产业提档。</w:t>
      </w:r>
      <w:r>
        <w:rPr>
          <w:rFonts w:hint="default" w:ascii="Times New Roman" w:hAnsi="Times New Roman" w:eastAsia="仿宋_GB2312" w:cs="Times New Roman"/>
          <w:color w:val="000000"/>
          <w:sz w:val="32"/>
          <w:szCs w:val="32"/>
        </w:rPr>
        <w:t>支持沃川装备、葆润铸锻等企业与宝武集团、中钢邢机等国内铸造龙头企业合作，通过技术引进、合资共建、协同研发等方式，推动铸造加工延链提质，构建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烧结—铸造—锻压—机械设备制造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完整产业链，加快打造西郭城高端装备制造基地，带动促进产业集聚发展。以汇工科技、两山能源、信达机械、简用设备等龙头为引领，大力发展矿山机械、环保装备、自动化设备等专用装备制造。以华初螺柱、东帆铁路等龙头为引领，推动关键零部件向高精尖方向发展。以黑一橡胶、巨优科技、超达密封等龙头为带动，推动传动带、密封件、轮胎、管材管件等橡塑制品标准化、品牌化发展。</w:t>
      </w:r>
    </w:p>
    <w:p w14:paraId="3C56921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w:t>
      </w:r>
      <w:r>
        <w:rPr>
          <w:rFonts w:hint="default" w:ascii="Times New Roman" w:hAnsi="Times New Roman" w:eastAsia="仿宋_GB2312" w:cs="Times New Roman"/>
          <w:b/>
          <w:color w:val="000000"/>
          <w:sz w:val="32"/>
          <w:szCs w:val="32"/>
        </w:rPr>
        <w:t>推动产品升级。</w:t>
      </w:r>
      <w:r>
        <w:rPr>
          <w:rFonts w:hint="default" w:ascii="Times New Roman" w:hAnsi="Times New Roman" w:eastAsia="仿宋_GB2312" w:cs="Times New Roman"/>
          <w:color w:val="000000"/>
          <w:sz w:val="32"/>
          <w:szCs w:val="32"/>
        </w:rPr>
        <w:t>实施产业创新工程，一体推进创新设施建设、技术研究开发、产品迭代升级，深化与高校院所合作，在开发应用新技术、新工艺中不断提升新产品研发能力和专业化生产水平，推动集群产品从零部件生产向机械总成、整机装备升级，提升产品模块化、集成化水平。</w:t>
      </w:r>
    </w:p>
    <w:p w14:paraId="79546547">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000000"/>
          <w:sz w:val="32"/>
          <w:szCs w:val="32"/>
        </w:rPr>
        <w:t>3.</w:t>
      </w:r>
      <w:r>
        <w:rPr>
          <w:rFonts w:hint="default" w:ascii="Times New Roman" w:hAnsi="Times New Roman" w:eastAsia="仿宋_GB2312" w:cs="Times New Roman"/>
          <w:b/>
          <w:color w:val="000000"/>
          <w:sz w:val="32"/>
          <w:szCs w:val="32"/>
        </w:rPr>
        <w:t>推动企业扩规。</w:t>
      </w:r>
      <w:r>
        <w:rPr>
          <w:rFonts w:hint="default" w:ascii="Times New Roman" w:hAnsi="Times New Roman" w:eastAsia="仿宋_GB2312" w:cs="Times New Roman"/>
          <w:color w:val="000000"/>
          <w:sz w:val="32"/>
          <w:szCs w:val="32"/>
        </w:rPr>
        <w:t>大力实施规上企业和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领跑者</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企业倍增计划，聚焦优势产业和潜力领域，通过精准招商引进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生力军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，精心培育壮大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本土队</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。推进小微企业加快成长，对成长性好、市场前景好的中小企业进行梯度培育，精准破解企业在融资、用地、用工、市场等方面的堵点痛点，推动更多市场主体</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个转企、小升规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。推进龙头企业加快壮大。建立龙头企业培育库，对规模较大、带动性强、优势明显的头部企业纳入培育库，</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一企一策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跟踪帮扶，在科技创新、人才引进、市场开拓等方面提供针对帮助，支持企业提规模、增效益。到2030年，力争全县高端装备制造关键零部件产业集群规上企业达到90家以上，</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领跑者</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企业达到10家以上，</w:t>
      </w:r>
      <w:r>
        <w:rPr>
          <w:rFonts w:hint="default" w:ascii="Times New Roman" w:hAnsi="Times New Roman" w:eastAsia="仿宋_GB2312" w:cs="Times New Roman"/>
          <w:color w:val="auto"/>
          <w:sz w:val="32"/>
          <w:szCs w:val="32"/>
        </w:rPr>
        <w:t>产业集群营收年均增速达到8%以上，总量突破2</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0亿元。</w:t>
      </w:r>
    </w:p>
    <w:p w14:paraId="279139A7">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三、实施质量提升行动</w:t>
      </w:r>
    </w:p>
    <w:p w14:paraId="11E86299">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b/>
          <w:color w:val="000000"/>
          <w:sz w:val="32"/>
          <w:szCs w:val="32"/>
        </w:rPr>
        <w:t>1.强化质量管理。</w:t>
      </w:r>
      <w:r>
        <w:rPr>
          <w:rFonts w:hint="default" w:ascii="Times New Roman" w:hAnsi="Times New Roman" w:eastAsia="仿宋_GB2312" w:cs="Times New Roman"/>
          <w:color w:val="000000"/>
          <w:sz w:val="32"/>
          <w:szCs w:val="32"/>
          <w:shd w:val="clear" w:color="auto" w:fill="FFFFFF"/>
        </w:rPr>
        <w:t>推行卓越绩效等先进质量管理模式，推广</w:t>
      </w:r>
      <w:r>
        <w:rPr>
          <w:rFonts w:hint="eastAsia"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rPr>
        <w:t>首席质量官</w:t>
      </w:r>
      <w:r>
        <w:rPr>
          <w:rFonts w:hint="eastAsia"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rPr>
        <w:t>制度，落实企业质量责任，引导企业建立健全质量管理和质量追溯体系，加强全员、全过程、全方位质量管理，实现产业集群中小企业</w:t>
      </w:r>
      <w:r>
        <w:rPr>
          <w:rFonts w:hint="eastAsia"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rPr>
        <w:t>首席质量官</w:t>
      </w:r>
      <w:r>
        <w:rPr>
          <w:rFonts w:hint="eastAsia"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rPr>
        <w:t>全覆盖。严格履行缺陷产品召回、质量担保责任，有效保障消费者合法权益，打造更多质量过硬的高品质产品。鼓励优势企业积极参与各级政府质量奖申报，建立先进质量管理经验长效宣传推广机制，推广质量标杆企业典型经验。</w:t>
      </w:r>
    </w:p>
    <w:p w14:paraId="4809867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w:t>
      </w:r>
      <w:r>
        <w:rPr>
          <w:rFonts w:hint="default" w:ascii="Times New Roman" w:hAnsi="Times New Roman" w:eastAsia="仿宋_GB2312" w:cs="Times New Roman"/>
          <w:b/>
          <w:color w:val="000000"/>
          <w:sz w:val="32"/>
          <w:szCs w:val="32"/>
        </w:rPr>
        <w:t>强化标准引领。</w:t>
      </w:r>
      <w:r>
        <w:rPr>
          <w:rFonts w:hint="default" w:ascii="Times New Roman" w:hAnsi="Times New Roman" w:eastAsia="仿宋_GB2312" w:cs="Times New Roman"/>
          <w:color w:val="000000"/>
          <w:sz w:val="32"/>
          <w:szCs w:val="32"/>
        </w:rPr>
        <w:t>鼓励引导县内优质企业主导或参与国际标准、国家标准、行业标准制修订，</w:t>
      </w:r>
      <w:r>
        <w:rPr>
          <w:rFonts w:hint="default" w:ascii="Times New Roman" w:hAnsi="Times New Roman" w:eastAsia="仿宋_GB2312" w:cs="Times New Roman"/>
          <w:color w:val="000000"/>
          <w:sz w:val="32"/>
          <w:szCs w:val="32"/>
          <w:shd w:val="clear" w:color="auto" w:fill="FFFFFF"/>
        </w:rPr>
        <w:t>对接国际、国家标委会，</w:t>
      </w:r>
      <w:r>
        <w:rPr>
          <w:rFonts w:hint="default" w:ascii="Times New Roman" w:hAnsi="Times New Roman" w:eastAsia="仿宋_GB2312" w:cs="Times New Roman"/>
          <w:color w:val="000000"/>
          <w:sz w:val="32"/>
          <w:szCs w:val="32"/>
        </w:rPr>
        <w:t>力促</w:t>
      </w:r>
      <w:r>
        <w:rPr>
          <w:rFonts w:hint="default" w:ascii="Times New Roman" w:hAnsi="Times New Roman" w:eastAsia="仿宋_GB2312" w:cs="Times New Roman"/>
          <w:color w:val="000000"/>
          <w:sz w:val="32"/>
          <w:szCs w:val="32"/>
          <w:shd w:val="clear" w:color="auto" w:fill="FFFFFF"/>
        </w:rPr>
        <w:t>黑一橡胶、两山能源等集群优质企业参与国际、国家标准修订2项以上</w:t>
      </w:r>
      <w:r>
        <w:rPr>
          <w:rFonts w:hint="default" w:ascii="Times New Roman" w:hAnsi="Times New Roman" w:eastAsia="仿宋_GB2312" w:cs="Times New Roman"/>
          <w:color w:val="000000"/>
          <w:sz w:val="32"/>
          <w:szCs w:val="32"/>
        </w:rPr>
        <w:t>。指导集群企业申报省级、国家级企业标准制定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领跑者</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。聚焦主导产业，开展系列技术标准创新族项目建设，促进产业链上下游、产品生产各环节有效衔接。</w:t>
      </w:r>
      <w:r>
        <w:rPr>
          <w:rFonts w:hint="default" w:ascii="Times New Roman" w:hAnsi="Times New Roman" w:eastAsia="仿宋_GB2312" w:cs="Times New Roman"/>
          <w:color w:val="000000"/>
          <w:sz w:val="32"/>
          <w:szCs w:val="32"/>
          <w:shd w:val="clear" w:color="auto" w:fill="FFFFFF"/>
        </w:rPr>
        <w:t>加强标准实施监督，确</w:t>
      </w:r>
      <w:r>
        <w:rPr>
          <w:rFonts w:hint="default" w:ascii="Times New Roman" w:hAnsi="Times New Roman" w:eastAsia="仿宋_GB2312" w:cs="Times New Roman"/>
          <w:color w:val="000000"/>
          <w:sz w:val="32"/>
          <w:szCs w:val="32"/>
        </w:rPr>
        <w:t>保集群重点企业标准公示率达到95%以上。大力开展标准化建设，重点将县内特色产业集群头部企业和产业链链主企业纳入标准化建设培育对象，筛选优势企业，积极争创国家级和省级标准化示范试点项目。</w:t>
      </w:r>
    </w:p>
    <w:p w14:paraId="1D53687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3.</w:t>
      </w:r>
      <w:r>
        <w:rPr>
          <w:rFonts w:hint="default" w:ascii="Times New Roman" w:hAnsi="Times New Roman" w:eastAsia="仿宋_GB2312" w:cs="Times New Roman"/>
          <w:b/>
          <w:color w:val="000000"/>
          <w:sz w:val="32"/>
          <w:szCs w:val="32"/>
        </w:rPr>
        <w:t>优化质量检测服务。</w:t>
      </w:r>
      <w:r>
        <w:rPr>
          <w:rFonts w:hint="default" w:ascii="Times New Roman" w:hAnsi="Times New Roman" w:eastAsia="仿宋_GB2312" w:cs="Times New Roman"/>
          <w:color w:val="000000"/>
          <w:sz w:val="32"/>
          <w:szCs w:val="32"/>
        </w:rPr>
        <w:t>瞄准县域特色产业集群，以检验检测机构为依托，打造集成计量、标准、认证认可、检验检测、知识产权、品牌、科研等要素的高技术服务平台，面向企业、产业、区域提供全方位、全产业链、全生命周期质量基础设施综合服务，着力提升产品检验检测服务能力，带动产业集群提标准、强质量。</w:t>
      </w:r>
      <w:r>
        <w:rPr>
          <w:rFonts w:hint="default" w:ascii="Times New Roman" w:hAnsi="Times New Roman" w:eastAsia="仿宋_GB2312" w:cs="Times New Roman"/>
          <w:color w:val="000000"/>
          <w:sz w:val="32"/>
          <w:szCs w:val="32"/>
          <w:shd w:val="clear" w:color="auto" w:fill="FFFFFF"/>
        </w:rPr>
        <w:t>推动河北省橡塑零部件产品质量检验检测中心开展扩项认证，确保覆盖产业集群检测项目达到98%以上，服务企业超300家以上，帮助企业降低检测成本10%左右。</w:t>
      </w:r>
      <w:r>
        <w:rPr>
          <w:rFonts w:hint="default" w:ascii="Times New Roman" w:hAnsi="Times New Roman" w:eastAsia="仿宋_GB2312" w:cs="Times New Roman"/>
          <w:bCs/>
          <w:color w:val="000000"/>
          <w:sz w:val="32"/>
          <w:szCs w:val="32"/>
        </w:rPr>
        <w:t>探索对匿名化检测数据进行行业性汇总分析，探索建立行业检测数据共享分析机制，</w:t>
      </w:r>
      <w:r>
        <w:rPr>
          <w:rFonts w:hint="default" w:ascii="Times New Roman" w:hAnsi="Times New Roman" w:eastAsia="仿宋_GB2312" w:cs="Times New Roman"/>
          <w:color w:val="000000"/>
          <w:sz w:val="32"/>
          <w:szCs w:val="32"/>
          <w:shd w:val="clear" w:color="auto" w:fill="FFFFFF"/>
        </w:rPr>
        <w:t>提升产业集群产品标准、质量水平。</w:t>
      </w:r>
    </w:p>
    <w:p w14:paraId="18AA47F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四、实施品牌提升行动</w:t>
      </w:r>
    </w:p>
    <w:p w14:paraId="31284CA8">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1.加强品牌培育。</w:t>
      </w:r>
      <w:r>
        <w:rPr>
          <w:rFonts w:hint="default" w:ascii="Times New Roman" w:hAnsi="Times New Roman" w:eastAsia="仿宋_GB2312" w:cs="Times New Roman"/>
          <w:color w:val="000000"/>
          <w:sz w:val="32"/>
          <w:szCs w:val="32"/>
        </w:rPr>
        <w:t>深入开展品牌优势企业和示范企业培育行动，立足本地产业比较优势，聚焦橡塑制品、关键零部件、机械设备、专用装备等细分领域，发挥行业协会引领作用，制定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一企一策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品牌提升方案，支持企业从产品质量、技术创新等多维度提升品牌价值，大力培育区域特色品牌，集中力量打造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鹿缘</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轮胎、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黑一</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传动带等特色产业品牌矩阵。支持企业加强品牌保护和维权，依法申请驰名商标保护。依法严厉打击品牌仿冒、商标侵权等违法行为。</w:t>
      </w:r>
    </w:p>
    <w:p w14:paraId="2FA9123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w:t>
      </w:r>
      <w:r>
        <w:rPr>
          <w:rFonts w:hint="default" w:ascii="Times New Roman" w:hAnsi="Times New Roman" w:eastAsia="仿宋_GB2312" w:cs="Times New Roman"/>
          <w:b/>
          <w:color w:val="000000"/>
          <w:sz w:val="32"/>
          <w:szCs w:val="32"/>
        </w:rPr>
        <w:t>做强展会平台。</w:t>
      </w:r>
      <w:r>
        <w:rPr>
          <w:rFonts w:hint="default" w:ascii="Times New Roman" w:hAnsi="Times New Roman" w:eastAsia="仿宋_GB2312" w:cs="Times New Roman"/>
          <w:color w:val="000000"/>
          <w:sz w:val="32"/>
          <w:szCs w:val="32"/>
        </w:rPr>
        <w:t>常态化举办产业集群展览会，力争参展企业逐年递增，将展会转化为品牌推广、技术合作和商贸洽谈的核心场景，着力打造具有区域影响力的品牌展会。谋划建设产业集群特色展馆，运用数字化、沉浸式技术，集中、动态展示集群优势产品、创新成果，带动产业链上下游对接合作，叫响产业品牌。积极推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冀货出海拓市场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，支持企业积极参加国内外知名大型会展活动，在主流媒体及互联网平台强化宣传推广，提升集群产品辨识度和影响力。</w:t>
      </w:r>
    </w:p>
    <w:p w14:paraId="7FBD99F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五、实施数字改造行动</w:t>
      </w:r>
    </w:p>
    <w:p w14:paraId="5404BD6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1.启动产业大脑培育工程，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期间，构建形成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产业大脑+共享工厂</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发展模式，围绕研发设计、生产制造、质量检验、仓储物流、经营管理等方面，推动集群企业与产业大脑进行数据共享和服务交互，以数字化手段提升产业共享水平。</w:t>
      </w:r>
    </w:p>
    <w:p w14:paraId="0611C5B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2.深入实施工业企业上云行动</w:t>
      </w:r>
      <w:r>
        <w:rPr>
          <w:rFonts w:hint="default" w:ascii="Times New Roman" w:hAnsi="Times New Roman" w:eastAsia="仿宋_GB2312" w:cs="Times New Roman"/>
          <w:color w:val="000000"/>
          <w:sz w:val="32"/>
          <w:szCs w:val="32"/>
        </w:rPr>
        <w:t>，推进工业设备、业务应用、平台系统及制造能力上云，利用互联网技术对橡塑制品、机械零部件、装备制造等产业进行全方位、全链条改造，打造企业上云生态体系，促进上下游高效对接、业务协同，力促</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期间，规上工业企业上云实现全覆盖，工业互联网平台应用普及率和工业企业设备上云率大幅提升。</w:t>
      </w:r>
    </w:p>
    <w:p w14:paraId="62C3B10D">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3.探索</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人工智能+</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应用场景</w:t>
      </w:r>
      <w:r>
        <w:rPr>
          <w:rFonts w:hint="default" w:ascii="Times New Roman" w:hAnsi="Times New Roman" w:eastAsia="仿宋_GB2312" w:cs="Times New Roman"/>
          <w:color w:val="000000"/>
          <w:sz w:val="32"/>
          <w:szCs w:val="32"/>
        </w:rPr>
        <w:t>，支持集群企业在发展人工智能上加大投入，通过引入数据模型，在企业设计、研发创新、产品工艺、安全保障等方面探索应用场景，提升企业效益。</w:t>
      </w:r>
    </w:p>
    <w:p w14:paraId="0A276ED7">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六、实施开发区提档升级行动</w:t>
      </w:r>
    </w:p>
    <w:p w14:paraId="5140D50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 xml:space="preserve">1.优化 </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一区两园</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发展格局，</w:t>
      </w:r>
      <w:r>
        <w:rPr>
          <w:rFonts w:hint="default" w:ascii="Times New Roman" w:hAnsi="Times New Roman" w:eastAsia="仿宋_GB2312" w:cs="Times New Roman"/>
          <w:color w:val="000000"/>
          <w:sz w:val="32"/>
          <w:szCs w:val="32"/>
        </w:rPr>
        <w:t>明晰产业布局和功能定位，积极推动经济开发区调规扩容，把握政策窗口期，系统推进经济开发区规划范围调整和空间布局优化，进一步拓宽经济开发区发展空间。</w:t>
      </w:r>
    </w:p>
    <w:p w14:paraId="14BD986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w:t>
      </w:r>
      <w:r>
        <w:rPr>
          <w:rFonts w:hint="default" w:ascii="Times New Roman" w:hAnsi="Times New Roman" w:eastAsia="仿宋_GB2312" w:cs="Times New Roman"/>
          <w:b/>
          <w:color w:val="000000"/>
          <w:sz w:val="32"/>
          <w:szCs w:val="32"/>
        </w:rPr>
        <w:t>推进园区基础设施升级改造，</w:t>
      </w:r>
      <w:r>
        <w:rPr>
          <w:rFonts w:hint="default" w:ascii="Times New Roman" w:hAnsi="Times New Roman" w:eastAsia="仿宋_GB2312" w:cs="Times New Roman"/>
          <w:color w:val="000000"/>
          <w:sz w:val="32"/>
          <w:szCs w:val="32"/>
        </w:rPr>
        <w:t>全面梳理经济开发区、西郭城园区内道路、管网、能源、通信等基础设施现状，积极谋划推进开发区基础设施更新提升、污水处理厂百乐克提升改造、西郭城园区污水处理厂建设等项目，加快补齐短板弱项，全面提升开发区承载力和配套水平。</w:t>
      </w:r>
    </w:p>
    <w:p w14:paraId="0ACC2FD2">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3.</w:t>
      </w:r>
      <w:r>
        <w:rPr>
          <w:rFonts w:hint="default" w:ascii="Times New Roman" w:hAnsi="Times New Roman" w:eastAsia="仿宋_GB2312" w:cs="Times New Roman"/>
          <w:b/>
          <w:color w:val="000000"/>
          <w:sz w:val="32"/>
          <w:szCs w:val="32"/>
        </w:rPr>
        <w:t>加力实施</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共享式园中园</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建设</w:t>
      </w:r>
      <w:r>
        <w:rPr>
          <w:rFonts w:hint="default" w:ascii="Times New Roman" w:hAnsi="Times New Roman" w:eastAsia="仿宋_GB2312" w:cs="Times New Roman"/>
          <w:color w:val="000000"/>
          <w:sz w:val="32"/>
          <w:szCs w:val="32"/>
        </w:rPr>
        <w:t>，持续优化园区产业结构，提升共享协作水平和生产效率，力促到2030年底，经济开发区内</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共享式园中园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达到7个，入驻企业超过60家，年产值达到10亿元，带动经济开发区营业收入年均增长9%以上。</w:t>
      </w:r>
    </w:p>
    <w:p w14:paraId="50825589">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4.</w:t>
      </w:r>
      <w:r>
        <w:rPr>
          <w:rFonts w:hint="default" w:ascii="Times New Roman" w:hAnsi="Times New Roman" w:eastAsia="仿宋_GB2312" w:cs="Times New Roman"/>
          <w:b/>
          <w:color w:val="000000"/>
          <w:sz w:val="32"/>
          <w:szCs w:val="32"/>
        </w:rPr>
        <w:t>持续深化开发区体制机制改革，</w:t>
      </w:r>
      <w:r>
        <w:rPr>
          <w:rFonts w:hint="default" w:ascii="Times New Roman" w:hAnsi="Times New Roman" w:eastAsia="仿宋_GB2312" w:cs="Times New Roman"/>
          <w:color w:val="000000"/>
          <w:sz w:val="32"/>
          <w:szCs w:val="32"/>
        </w:rPr>
        <w:t>以营商服务为切入口，完善企业帮扶支持制度，推进行政服务中心搬迁改建，加快实现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园区事、园区办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，让企业办事更轻松。</w:t>
      </w:r>
    </w:p>
    <w:p w14:paraId="0026EAD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5.着</w:t>
      </w:r>
      <w:r>
        <w:rPr>
          <w:rFonts w:hint="default" w:ascii="Times New Roman" w:hAnsi="Times New Roman" w:eastAsia="仿宋_GB2312" w:cs="Times New Roman"/>
          <w:b/>
          <w:color w:val="000000"/>
          <w:sz w:val="32"/>
          <w:szCs w:val="32"/>
        </w:rPr>
        <w:t>力提升园区用地效益。</w:t>
      </w:r>
      <w:r>
        <w:rPr>
          <w:rFonts w:hint="default" w:ascii="Times New Roman" w:hAnsi="Times New Roman" w:eastAsia="仿宋_GB2312" w:cs="Times New Roman"/>
          <w:color w:val="000000"/>
          <w:sz w:val="32"/>
          <w:szCs w:val="32"/>
        </w:rPr>
        <w:t>严把入园项目准入关，健全完善企业退出机制，持续加强闲置低效土地、厂房等资源盘活利用，积极开展腾笼换鸟、二次招商，提高园区亩均产出效益。</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6"/>
      </w:tblGrid>
      <w:tr w14:paraId="4C9A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816" w:type="dxa"/>
            <w:noWrap w:val="0"/>
            <w:vAlign w:val="center"/>
          </w:tcPr>
          <w:p w14:paraId="0A311378">
            <w:pPr>
              <w:spacing w:line="600" w:lineRule="exact"/>
              <w:jc w:val="center"/>
              <w:rPr>
                <w:rFonts w:hint="default" w:ascii="Times New Roman" w:hAnsi="Times New Roman" w:eastAsia="仿宋" w:cs="Times New Roman"/>
                <w:color w:val="000000"/>
                <w:sz w:val="28"/>
                <w:szCs w:val="28"/>
              </w:rPr>
            </w:pPr>
            <w:r>
              <w:rPr>
                <w:rFonts w:hint="default" w:ascii="Times New Roman" w:hAnsi="Times New Roman" w:eastAsia="楷体" w:cs="Times New Roman"/>
                <w:b/>
                <w:bCs/>
                <w:color w:val="000000"/>
                <w:sz w:val="28"/>
                <w:szCs w:val="28"/>
              </w:rPr>
              <w:t>专栏3-1   高端装备制造产业延链工程</w:t>
            </w:r>
          </w:p>
        </w:tc>
      </w:tr>
      <w:tr w14:paraId="43C8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816" w:type="dxa"/>
            <w:noWrap w:val="0"/>
            <w:vAlign w:val="top"/>
          </w:tcPr>
          <w:p w14:paraId="5AA78BAA">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深化巨鹿县西郭城镇与中钢集团邢台机械轧辊等龙头企业的资本与技术合作，重点共建特种合金材料研发与小批量制备基地、高端铸锻件共享制造中心，构建百亿级高端装备制造产业集群。</w:t>
            </w:r>
            <w:r>
              <w:rPr>
                <w:rFonts w:hint="default" w:ascii="Times New Roman" w:hAnsi="Times New Roman" w:eastAsia="仿宋" w:cs="Times New Roman"/>
                <w:b/>
                <w:bCs/>
                <w:color w:val="000000"/>
                <w:sz w:val="24"/>
                <w:szCs w:val="24"/>
                <w:shd w:val="clear" w:color="auto" w:fill="FFFFFF"/>
              </w:rPr>
              <w:t>做强先进装备制造基地</w:t>
            </w:r>
            <w:r>
              <w:rPr>
                <w:rFonts w:hint="default" w:ascii="Times New Roman" w:hAnsi="Times New Roman" w:eastAsia="仿宋" w:cs="Times New Roman"/>
                <w:color w:val="000000"/>
                <w:sz w:val="24"/>
                <w:szCs w:val="24"/>
                <w:shd w:val="clear" w:color="auto" w:fill="FFFFFF"/>
              </w:rPr>
              <w:t>，强力推进与中钢邢机深度合作，发展大型连铸连轧设备、大型锻压设备、重型冶金装备产品，发挥短流程铸造工艺的上游主导作用，补齐</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烧结—铸造—锻压</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前端关键环节，形成智能环保铸锻产业集群。</w:t>
            </w:r>
            <w:r>
              <w:rPr>
                <w:rFonts w:hint="default" w:ascii="Times New Roman" w:hAnsi="Times New Roman" w:eastAsia="仿宋" w:cs="Times New Roman"/>
                <w:b/>
                <w:bCs/>
                <w:color w:val="000000"/>
                <w:sz w:val="24"/>
                <w:szCs w:val="24"/>
                <w:shd w:val="clear" w:color="auto" w:fill="FFFFFF"/>
              </w:rPr>
              <w:t>打造金属新材料科研中心</w:t>
            </w:r>
            <w:r>
              <w:rPr>
                <w:rFonts w:hint="default" w:ascii="Times New Roman" w:hAnsi="Times New Roman" w:eastAsia="仿宋" w:cs="Times New Roman"/>
                <w:color w:val="000000"/>
                <w:sz w:val="24"/>
                <w:szCs w:val="24"/>
                <w:shd w:val="clear" w:color="auto" w:fill="FFFFFF"/>
              </w:rPr>
              <w:t>，利用宝武集团和中钢邢机国家级科研机构，共同设立科研基地，研发用于航空、航海、汽车工业的高强度、耐腐蚀、耐磨损耐高温高分子金属新材料、高等级锻压锻材锻件、工具钢材料。</w:t>
            </w:r>
            <w:r>
              <w:rPr>
                <w:rFonts w:hint="default" w:ascii="Times New Roman" w:hAnsi="Times New Roman" w:eastAsia="仿宋" w:cs="Times New Roman"/>
                <w:b/>
                <w:bCs/>
                <w:color w:val="000000"/>
                <w:sz w:val="24"/>
                <w:szCs w:val="24"/>
                <w:shd w:val="clear" w:color="auto" w:fill="FFFFFF"/>
              </w:rPr>
              <w:t>提升机械加工产业链整合能力</w:t>
            </w:r>
            <w:r>
              <w:rPr>
                <w:rFonts w:hint="default" w:ascii="Times New Roman" w:hAnsi="Times New Roman" w:eastAsia="仿宋" w:cs="Times New Roman"/>
                <w:color w:val="000000"/>
                <w:sz w:val="24"/>
                <w:szCs w:val="24"/>
                <w:shd w:val="clear" w:color="auto" w:fill="FFFFFF"/>
              </w:rPr>
              <w:t>，引进精密数控机床、热处理等专业服务商，推动价值链高端拓展，鼓励企业从生产基础件向提供工程机械液压总成等关键功能部件升级。支持有条件的企业，整合本地供应链，发展智能节水农机、小型化环保装备等整机产品。</w:t>
            </w:r>
          </w:p>
        </w:tc>
      </w:tr>
    </w:tbl>
    <w:p w14:paraId="12BC009F">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34" w:name="_Toc31733"/>
      <w:bookmarkStart w:id="35" w:name="_Toc4793"/>
      <w:r>
        <w:rPr>
          <w:rFonts w:hint="default" w:ascii="Times New Roman" w:hAnsi="Times New Roman" w:eastAsia="楷体" w:cs="Times New Roman"/>
          <w:b/>
          <w:color w:val="000000"/>
          <w:sz w:val="32"/>
          <w:szCs w:val="28"/>
        </w:rPr>
        <w:t>第二节  培育发展新兴产业和未来产业</w:t>
      </w:r>
      <w:bookmarkEnd w:id="34"/>
      <w:bookmarkEnd w:id="35"/>
    </w:p>
    <w:p w14:paraId="1492C81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大力推动新能源产业扩规延链，积极布局数字经济、低空经济、人工智能等未来产业，加快塑造发展新动能、新优势。</w:t>
      </w:r>
    </w:p>
    <w:p w14:paraId="59C9261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一、加快壮大新能源产业</w:t>
      </w:r>
    </w:p>
    <w:p w14:paraId="485DB339">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把新能源产业作为新兴产业的支柱、新质生产力的重要支撑，以集成融合发展为方向，开启新一轮</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新能源发展五年行动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，推动新型能源强县建设迈上新台阶。</w:t>
      </w:r>
    </w:p>
    <w:p w14:paraId="7F0AFAD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1.实施新能源扩规行动，</w:t>
      </w:r>
      <w:r>
        <w:rPr>
          <w:rFonts w:hint="default" w:ascii="Times New Roman" w:hAnsi="Times New Roman" w:eastAsia="仿宋_GB2312" w:cs="Times New Roman"/>
          <w:color w:val="000000"/>
          <w:sz w:val="32"/>
          <w:szCs w:val="32"/>
        </w:rPr>
        <w:t>积极争取新能源指标，谋划建设一批风能、光伏、生物质、地热、新型储能等项目，加快推进巨鹿县堤村40万千瓦时、60万千瓦时独立储能电站等项目建设，推动世都风能、展广风能、华能风能等一批项目建成投产，持续做大新能源规模体量和装机容量。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末，力争全县新能源装机容量达到1500兆瓦，年发电量达到32亿千瓦时，能源综合生产能力达到35万吨标准煤。</w:t>
      </w:r>
    </w:p>
    <w:p w14:paraId="3AD6835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2.实施新能源制造升级行动，</w:t>
      </w:r>
      <w:r>
        <w:rPr>
          <w:rFonts w:hint="default" w:ascii="Times New Roman" w:hAnsi="Times New Roman" w:eastAsia="仿宋_GB2312" w:cs="Times New Roman"/>
          <w:color w:val="000000"/>
          <w:sz w:val="32"/>
          <w:szCs w:val="32"/>
        </w:rPr>
        <w:t>积极引进培育新能源制造龙头企业，力促一批新能源电池生产、储能设备加工项目落地投产。支持中海巢、天一电器、深蓝锂电等企业扩能增效，提高储能电池、铅酸电池、锂电设备制造产能和产值效益。支持辰鹿、韵文等新能源电动车企业扩规升级，拓展景区观光车、园区物流车等专用电动车市场，着力打造新能源产品制造示范基地。积极引进氢能应用示范项目，探索在物流运输、储能等领域的氢能多元化利用路径。同时，加快海巨能源零碳循环产业基地等项目建设，探索绿电直连、虚拟电厂等模式，新能源就地就近消纳水平达到60%以上，加快打造零碳示范园区。</w:t>
      </w:r>
    </w:p>
    <w:p w14:paraId="57154A9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3.实施新能源共享提升行动，</w:t>
      </w:r>
      <w:r>
        <w:rPr>
          <w:rFonts w:hint="default" w:ascii="Times New Roman" w:hAnsi="Times New Roman" w:eastAsia="仿宋_GB2312" w:cs="Times New Roman"/>
          <w:color w:val="000000"/>
          <w:sz w:val="32"/>
          <w:szCs w:val="32"/>
        </w:rPr>
        <w:t>探索新能源产业共享智造模式，聚焦电池、储能设备等核心零部件以及新能源电动车等整机产品，谋划建设新能源产业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共享式园中园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r>
        <w:rPr>
          <w:rFonts w:hint="default" w:ascii="Times New Roman" w:hAnsi="Times New Roman" w:cs="Times New Roman"/>
          <w:color w:val="000000"/>
        </w:rPr>
        <w:t xml:space="preserve"> </w:t>
      </w:r>
      <w:r>
        <w:rPr>
          <w:rFonts w:hint="default" w:ascii="Times New Roman" w:hAnsi="Times New Roman" w:eastAsia="仿宋_GB2312" w:cs="Times New Roman"/>
          <w:color w:val="000000"/>
          <w:sz w:val="32"/>
          <w:szCs w:val="32"/>
        </w:rPr>
        <w:t>引进核心部件头部企业，搭建技术研发、公共检测等服务平台，推动形成上下游互相协作、一体集成融合发展的新能源产业闭环。完善新能源汽车共享应用生态，推动重卡公共充电站合理布局，提升充电服务网络覆盖与运营效率。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末，力促新能源产值达到40亿元。</w:t>
      </w:r>
    </w:p>
    <w:p w14:paraId="0D41D09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二、积极布局培育未来产业</w:t>
      </w:r>
    </w:p>
    <w:p w14:paraId="76B445E8">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抢抓新一轮科技革命和产业变革窗口机遇期，瞄准数字经济、低空经济、生物制造、人工智能等方向，对未来产业前瞻布局，积极抢占新领域、新赛道。依托业兴数字大厦、众禾大厦等载体，建设县域数字经济、电商直播产业园。大力发展跨境电商，推动装备零部件、特色农产品线上出海。完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小满云仓</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智慧供应链体系，提升数字化仓储与共同配送能力。积极开发拓展低空经济多元应用场景。推广无人机植保与农情监测，开展无人机应急巡查、环保监测等应用。推动低空运营服务与数字经济融合，丰富本地化应用场景。</w:t>
      </w:r>
    </w:p>
    <w:p w14:paraId="712FA21C">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36" w:name="_Toc12390"/>
      <w:bookmarkStart w:id="37" w:name="_Toc14658"/>
      <w:r>
        <w:rPr>
          <w:rFonts w:hint="default" w:ascii="Times New Roman" w:hAnsi="Times New Roman" w:eastAsia="楷体" w:cs="Times New Roman"/>
          <w:b/>
          <w:color w:val="000000"/>
          <w:sz w:val="32"/>
          <w:szCs w:val="28"/>
        </w:rPr>
        <w:t>第三节  加快传统产业提档升级</w:t>
      </w:r>
      <w:bookmarkEnd w:id="36"/>
      <w:bookmarkEnd w:id="37"/>
    </w:p>
    <w:p w14:paraId="3B2A81B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把传统产业发展放在重要位置，加快高端化、智能化、绿色化转型，推动传统产业综合实力稳步增强，核心竞争力持续提升，成为经济高质量发展的重要支撑。</w:t>
      </w:r>
    </w:p>
    <w:p w14:paraId="30B3DAB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一、育强培优食品加工产业</w:t>
      </w:r>
    </w:p>
    <w:p w14:paraId="05EC318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依托特色资源优势和产业基础优势，积极融入全市食品加工产业隆起带建设，制定全县食品加工产业中长期发展规划，实施育强培优行动，进一步提升产业规模和发展层次。</w:t>
      </w:r>
    </w:p>
    <w:p w14:paraId="3E273B7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1.壮大食品加工企业。</w:t>
      </w:r>
      <w:r>
        <w:rPr>
          <w:rFonts w:hint="default" w:ascii="Times New Roman" w:hAnsi="Times New Roman" w:eastAsia="仿宋_GB2312" w:cs="Times New Roman"/>
          <w:color w:val="000000"/>
          <w:sz w:val="32"/>
          <w:szCs w:val="32"/>
        </w:rPr>
        <w:t>依托金银花、高油酸花生、小寨羊肉、红杏、菊花</w:t>
      </w:r>
      <w:r>
        <w:rPr>
          <w:rFonts w:hint="default" w:ascii="Times New Roman" w:hAnsi="Times New Roman" w:eastAsia="仿宋_GB2312" w:cs="Times New Roman"/>
          <w:color w:val="000000"/>
          <w:sz w:val="32"/>
          <w:szCs w:val="32"/>
          <w:lang w:eastAsia="zh-CN"/>
        </w:rPr>
        <w:t>、枸杞</w:t>
      </w:r>
      <w:r>
        <w:rPr>
          <w:rFonts w:hint="default" w:ascii="Times New Roman" w:hAnsi="Times New Roman" w:eastAsia="仿宋_GB2312" w:cs="Times New Roman"/>
          <w:color w:val="000000"/>
          <w:sz w:val="32"/>
          <w:szCs w:val="32"/>
        </w:rPr>
        <w:t>等特色资源优势，加大食品精深加工企业招引力度，推动食品加工产业延链提质。分类扶持推动食品加工企业扩规增效、转型升级。重点帮扶积润、蒙羊、天诺、荣迁等速冻食品、肉制品企业提质量、拓市场；支持旺泉持续扩展市场和产能，壮大规模效益，加快升规入统；积极推动卓科食品等企业深化与今麦郎等行业龙头深化合作，推动产品升级增效。加快推动水仙花酒厂项目建设，复兴水仙花酒业品牌。帮扶倍倍香发挥高油酸花生种植基地优势，扩大高油酸花生油精深加工产能，加大产品推广和品牌宣传力度，打响健康油品品牌。力争到2030年底，全县食品加工企业达到100家以上，规上企业占比提高5个百分点，产业营收达到15亿元。</w:t>
      </w:r>
    </w:p>
    <w:p w14:paraId="735D261A">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2.加强特色食品研发。</w:t>
      </w:r>
      <w:r>
        <w:rPr>
          <w:rFonts w:hint="default" w:ascii="Times New Roman" w:hAnsi="Times New Roman" w:eastAsia="仿宋_GB2312" w:cs="Times New Roman"/>
          <w:color w:val="000000"/>
          <w:sz w:val="32"/>
          <w:szCs w:val="32"/>
        </w:rPr>
        <w:t>以精深加工为主攻方向，进一步深化与河北省科学院、北京中医药大学等高校院所合作，支持食品加工企业瞄准市场导向和消费需求，积极开发特色饮品、休闲食品、保健产品，推动食品加工向健康化、营养化、高端化方向发展。</w:t>
      </w:r>
    </w:p>
    <w:p w14:paraId="722250B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3.打响食品产业品牌。</w:t>
      </w:r>
      <w:r>
        <w:rPr>
          <w:rFonts w:hint="default" w:ascii="Times New Roman" w:hAnsi="Times New Roman" w:eastAsia="仿宋_GB2312" w:cs="Times New Roman"/>
          <w:color w:val="000000"/>
          <w:sz w:val="32"/>
          <w:szCs w:val="32"/>
        </w:rPr>
        <w:t>坚持质量和品牌双轮驱动，强化品牌推广，定期组织食品加工企业参加国内外知名行业展会，积极争取承办区域性、专业性产业论坛及产销对接活动，叫响巨鹿健康食品特色品牌。整合运用各类媒体，讲好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巨鹿味道</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故事，持续提升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巨鹿金银花</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巨鹿高油酸花生</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小寨羊肉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中华枸杞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等区域品牌知名度、美誉度和市场占有率。</w:t>
      </w:r>
    </w:p>
    <w:p w14:paraId="7151348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二、做精做特纺织服装产业</w:t>
      </w:r>
    </w:p>
    <w:p w14:paraId="2E22F3E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面对市场需求变化和产业升级趋势，实施数字技术赋能、质量品牌提升系列行动，大力推动纺织服装产业焕发新生，力争到2030年纺织服装产业产值突破10亿元。</w:t>
      </w:r>
    </w:p>
    <w:p w14:paraId="5028712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1.推动纺织产业延链升级。</w:t>
      </w:r>
      <w:r>
        <w:rPr>
          <w:rFonts w:hint="default" w:ascii="Times New Roman" w:hAnsi="Times New Roman" w:eastAsia="仿宋_GB2312" w:cs="Times New Roman"/>
          <w:color w:val="000000"/>
          <w:sz w:val="32"/>
          <w:szCs w:val="32"/>
        </w:rPr>
        <w:t>以新时代纺织、明泰纺织为龙头，重点向高性能产业用纺织品、高端家纺面料等高附加值领域延伸拓展，推动纺织环节技术升级与产品迭代；支持企业开展工艺更新和技术改造，谋划与东华大学、河北科技大学等高校合作，积极引进数字化设计、智能柔性制造等关键配套项目，共建功能性纺织材料研发平台，提升生产效率和品质能级。</w:t>
      </w:r>
    </w:p>
    <w:p w14:paraId="59736C3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2.支持服装产业做大做强。</w:t>
      </w:r>
      <w:r>
        <w:rPr>
          <w:rFonts w:hint="default" w:ascii="Times New Roman" w:hAnsi="Times New Roman" w:eastAsia="仿宋_GB2312" w:cs="Times New Roman"/>
          <w:color w:val="000000"/>
          <w:sz w:val="32"/>
          <w:szCs w:val="32"/>
        </w:rPr>
        <w:t>依托依时华服饰、凯莱服饰、佰信达实业等骨干企业，突出其在品牌设计、规模制造与市场响应方面的示范效应，鼓励企业发展个性化定制、协同设计等新模式，聚力开发功能性工装、高端职业制服、国风文创服饰等特色细分产品；鼓励企业推进技术改造、扩大生产规模，不断提高产品品质和市场占有率。</w:t>
      </w:r>
    </w:p>
    <w:p w14:paraId="360B658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三、振兴智能家居产业</w:t>
      </w:r>
    </w:p>
    <w:p w14:paraId="3861AD0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支持喜德来、德建等智能家居企业全力探索数字化转型新路，搭建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产品＋服务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平台，重点发展全屋智能定制系统、环保健康儿童家具、适老化功能家居等符合消费趋势的产品；积极拓宽市场，推动智能家居与地产、家装、康养等多方主体深度对接、融合发展；发挥智能家居产业园载体功能，重点招引智能控制系统、环保新材料、高端五金件及全屋定制解决方案服务商等配套企业。加强本地上下游企业联动，支持与鑫霸铝业、祥筑铝业等主要建材企业开展合作，助力企业降本增效。到2030年底，争取智能家居产业营收达到10亿元。</w:t>
      </w:r>
    </w:p>
    <w:p w14:paraId="0B22357B">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38" w:name="_Toc29167"/>
      <w:bookmarkStart w:id="39" w:name="_Toc6800"/>
      <w:r>
        <w:rPr>
          <w:rFonts w:hint="default" w:ascii="Times New Roman" w:hAnsi="Times New Roman" w:eastAsia="楷体" w:cs="Times New Roman"/>
          <w:b/>
          <w:color w:val="000000"/>
          <w:sz w:val="32"/>
          <w:szCs w:val="28"/>
        </w:rPr>
        <w:t>第四节  促进服务业优质高效发展</w:t>
      </w:r>
      <w:bookmarkEnd w:id="38"/>
      <w:bookmarkEnd w:id="39"/>
    </w:p>
    <w:p w14:paraId="43D813D2">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实施服务业扩能提质行动，推动服务业与制造业、特色农业融合发展，加快打造邢东商贸强县。力争到2030年，全县限上企业达到80家以上，服务业增加值增长6%以上。</w:t>
      </w:r>
    </w:p>
    <w:p w14:paraId="27B3A01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一、提升生产性服务业供给</w:t>
      </w:r>
    </w:p>
    <w:p w14:paraId="2DA4FEED">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1.积极发展多样生产性服务业态。</w:t>
      </w:r>
      <w:r>
        <w:rPr>
          <w:rFonts w:hint="default" w:ascii="Times New Roman" w:hAnsi="Times New Roman" w:eastAsia="仿宋_GB2312" w:cs="Times New Roman"/>
          <w:color w:val="000000"/>
          <w:sz w:val="32"/>
          <w:szCs w:val="32"/>
        </w:rPr>
        <w:t>重点聚焦橡胶、密封件、金属件等生产制造领域，鼓励发展供应链管理服务，围绕采购、生产、仓储、分销、配送等关键环节，积极培育和引进一批总集成、总承包服务提供商，降低制造业综合运营成本，提升产业链整体效率和竞争力。深度对接产业转型升级需求，探索培育工业设计、信息服务、数据开发等新兴服务业态，为产业发展提供稳定可靠支撑。</w:t>
      </w:r>
    </w:p>
    <w:p w14:paraId="16230D99">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2.加快推进现代物流体系建设</w:t>
      </w:r>
      <w:r>
        <w:rPr>
          <w:rFonts w:hint="default" w:ascii="Times New Roman" w:hAnsi="Times New Roman" w:eastAsia="仿宋_GB2312" w:cs="Times New Roman"/>
          <w:color w:val="000000"/>
          <w:sz w:val="32"/>
          <w:szCs w:val="32"/>
        </w:rPr>
        <w:t>，依托冀中南智慧物流产业园，引进自动化仓储、智能分拣系统、多式联运等功能，持续强化枢纽作用。进一步完善县、乡、村三级物流配送体系建设，打通农产品上行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最初一公里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和工业品下行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最后一公里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，提高配送效率，降低运输成本。</w:t>
      </w:r>
    </w:p>
    <w:p w14:paraId="494E224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二、促进生活性服务业提质扩容</w:t>
      </w:r>
    </w:p>
    <w:p w14:paraId="22D18A2A">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坚持以人民为中心的发展思想，以满足城乡居民日益增长的美好生活需要为根本目的，大力推动生活性服务业高品质、多样化、便利化发展，积极构建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一刻钟</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便民生活服务圈。</w:t>
      </w:r>
    </w:p>
    <w:p w14:paraId="514E044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1.推动传统服务业提质升级。</w:t>
      </w:r>
      <w:r>
        <w:rPr>
          <w:rFonts w:hint="default" w:ascii="Times New Roman" w:hAnsi="Times New Roman" w:eastAsia="仿宋_GB2312" w:cs="Times New Roman"/>
          <w:color w:val="000000"/>
          <w:sz w:val="32"/>
          <w:szCs w:val="32"/>
        </w:rPr>
        <w:t>围绕商贸零售、住宿餐饮等居民服务领域，推动服务品质升级，提升消费者满意度。鼓励大型商超向体验式、智慧化转型，支持社区生鲜店、便利店品牌化、连锁化发展，升级改造一批特色商业街、美食街。振兴</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老字号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，培育地方特色餐饮品牌，推广本地美食文化。提升餐饮住宿卫生、安全与标准化水平。推动美容美发、家电维修、摄影婚庆等行业规范发展，提升技艺水平和服务环境。</w:t>
      </w:r>
    </w:p>
    <w:p w14:paraId="294533BA">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2.促进新兴服务业蓬勃发展。</w:t>
      </w:r>
      <w:r>
        <w:rPr>
          <w:rFonts w:hint="default" w:ascii="Times New Roman" w:hAnsi="Times New Roman" w:eastAsia="仿宋_GB2312" w:cs="Times New Roman"/>
          <w:color w:val="000000"/>
          <w:sz w:val="32"/>
          <w:szCs w:val="32"/>
        </w:rPr>
        <w:t>围绕健康养老、托育照护、文化体育、旅游休闲、家政服务等新兴服务业态蓬勃发展，不断打造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服务+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融合新场景。立足医疗养老服务优势，深度开发、大力培育健康服务、康养产业、银发经济。构建综合服务体系，推动养老、医疗、康复、护理、健康管理等业态协同发展，支持建设一批医养结合示范机构，发展家庭医生签约和居家养老护理服务。同时，大力培育老年康复辅助器具租赁、适老化改造、智慧养老、老年教育、老年旅游等产业，打造覆盖全生命周期的老年健康服务产业链。紧扣群众需求，深度开发文旅资源，依托大麓文博苑，常态化举办文化沙龙、公益培训、惠民演出、书画摄影展览、非遗展示展演等特色文化活动。依托大麓生态公园、老漳河风景区、大圆塘，持续举办文化演艺、休闲垂钓、绿道骑行、特色会展等活动，带动文旅、体育、餐饮、住宿等相关产业协同发展，激活区域经济发展新动能。持续培育和输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河北福嫂</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，积极宣传家政基地和福嫂典型，发挥示范引领作用，动员更多人员学习家政技能，扩大优质家政服务有效供给。</w:t>
      </w:r>
    </w:p>
    <w:p w14:paraId="6BD49A62">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三、大力发展电商经济</w:t>
      </w:r>
    </w:p>
    <w:p w14:paraId="52CB5238">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深化电商全链条服务，依托业兴大厦、众禾大厦，支持建设集产品展示、直播带货、人才培训于一体的电商基地平台，培育和引进一批专业的电商代运营、视觉设计、营销推广服务商，构建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特色产品+电商平台+直播经济+综合服务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多业态集聚的电商发展新模式，打造直播电商产业园。发展电商示范村，推广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一品一播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模式，以大张庄食品机械、张起营宠物饰品、南哈口瓜菜、堤村金银花盆景为示范引领，积极培育更多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直播+产业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示范村、示范园。依托小满云仓、阿里巴巴国际站、速卖通等跨境平台，积极推动县内工农业产品开展跨境电商业务，完善从数字营销、国际物流到品牌出海的跨境电商服务生态，构建线上线下融合、覆盖全域的电商发展格局。力争到2030年底，全县网络零售额达到15亿元以上，外贸进出口总额突破3亿元。</w:t>
      </w:r>
    </w:p>
    <w:tbl>
      <w:tblPr>
        <w:tblStyle w:val="18"/>
        <w:tblpPr w:leftFromText="180" w:rightFromText="180" w:vertAnchor="text" w:horzAnchor="margin" w:tblpY="15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3"/>
      </w:tblGrid>
      <w:tr w14:paraId="6212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43" w:type="dxa"/>
            <w:noWrap w:val="0"/>
            <w:vAlign w:val="center"/>
          </w:tcPr>
          <w:p w14:paraId="30A6B604">
            <w:pPr>
              <w:spacing w:line="600" w:lineRule="exact"/>
              <w:jc w:val="center"/>
              <w:rPr>
                <w:rFonts w:hint="default" w:ascii="Times New Roman" w:hAnsi="Times New Roman" w:eastAsia="楷体" w:cs="Times New Roman"/>
                <w:color w:val="000000"/>
              </w:rPr>
            </w:pPr>
            <w:r>
              <w:rPr>
                <w:rFonts w:hint="default" w:ascii="Times New Roman" w:hAnsi="Times New Roman" w:eastAsia="楷体" w:cs="Times New Roman"/>
                <w:b/>
                <w:bCs/>
                <w:color w:val="000000"/>
                <w:sz w:val="28"/>
                <w:szCs w:val="28"/>
              </w:rPr>
              <w:t>专栏3-2  产业发展重大项目</w:t>
            </w:r>
          </w:p>
        </w:tc>
      </w:tr>
      <w:tr w14:paraId="20D8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8743" w:type="dxa"/>
            <w:noWrap w:val="0"/>
            <w:vAlign w:val="top"/>
          </w:tcPr>
          <w:p w14:paraId="5A4294A9">
            <w:pPr>
              <w:keepNext w:val="0"/>
              <w:keepLines w:val="0"/>
              <w:pageBreakBefore w:val="0"/>
              <w:widowControl w:val="0"/>
              <w:kinsoku/>
              <w:wordWrap/>
              <w:overflowPunct w:val="0"/>
              <w:topLinePunct w:val="0"/>
              <w:autoSpaceDE w:val="0"/>
              <w:autoSpaceDN w:val="0"/>
              <w:bidi w:val="0"/>
              <w:adjustRightInd/>
              <w:snapToGrid/>
              <w:spacing w:line="420" w:lineRule="exact"/>
              <w:ind w:firstLine="482"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b/>
                <w:bCs/>
                <w:color w:val="000000"/>
                <w:sz w:val="24"/>
                <w:szCs w:val="24"/>
                <w:shd w:val="clear" w:color="auto" w:fill="FFFFFF"/>
              </w:rPr>
              <w:t>高端装备关键零部件产业集群：整机装备，</w:t>
            </w:r>
            <w:r>
              <w:rPr>
                <w:rFonts w:hint="default" w:ascii="Times New Roman" w:hAnsi="Times New Roman" w:eastAsia="仿宋" w:cs="Times New Roman"/>
                <w:color w:val="000000"/>
                <w:sz w:val="24"/>
                <w:szCs w:val="24"/>
                <w:shd w:val="clear" w:color="auto" w:fill="FFFFFF"/>
              </w:rPr>
              <w:t>邢台浩邦机械制造有限公司大型自动玉米剥皮机和履带式玉米联合收割机项目、河北牛博士机械设备有限公司多功能微型收割机项目、巨鹿县奥圣新材料科技有限公司自行车项目、巨鹿县中傲新能源科技有限公司儿童自行车项目、邢台源一农业机械有限公司高精准籽粒收割机整机组装项目</w:t>
            </w:r>
            <w:r>
              <w:rPr>
                <w:rFonts w:hint="default" w:ascii="Times New Roman" w:hAnsi="Times New Roman" w:eastAsia="仿宋" w:cs="Times New Roman"/>
                <w:b/>
                <w:bCs/>
                <w:color w:val="000000"/>
                <w:sz w:val="24"/>
                <w:szCs w:val="24"/>
                <w:shd w:val="clear" w:color="auto" w:fill="FFFFFF"/>
              </w:rPr>
              <w:t>。关键零部件，</w:t>
            </w:r>
            <w:r>
              <w:rPr>
                <w:rFonts w:hint="default" w:ascii="Times New Roman" w:hAnsi="Times New Roman" w:eastAsia="仿宋" w:cs="Times New Roman"/>
                <w:color w:val="000000"/>
                <w:sz w:val="24"/>
                <w:szCs w:val="24"/>
                <w:shd w:val="clear" w:color="auto" w:fill="FFFFFF"/>
              </w:rPr>
              <w:t>邢台航发机械配件有限公司船舶发动机零部件项目、河北迈赫威新建煤矿用气动注液泵与煤矿用锚索张拉机具项目、河北中亮科技有限公司高端设备制造项目、邢台嘉昊传动设备有限公司智能化传动联轴器与永磁柔性联轴器项目、河北铭达装备制造科技有限公司新型现代汽车精密配件项目、邢台嘉昊传动设备有限公司电机法兰与齿轮联轴器项目、河北建达汽车零部件有限公司高端节能压滤机滤板项目、河北誉工机械科技有限公司农业机械及配件项目、铁科机辆（河北）检测设备有限公司新能源机车空调系统供风设备检测设备机车车辆零部件项目、巨鹿县宇航机械设备有限公司轮毂轮胎沃得农机配套项目、邢台市昱岭机械配件有限公司发动机配件项目、京能（巨鹿县）新能源科技有限公司自行车花鼓项目、巨鹿县京宝新能源科技有限公司自行车车架项目、巨鹿县明盛机械制造有限公司机械设备项目、河北誉工机械科技有限公司农业机械及配件项目、河北省荣优聚环保科技有限公司建设污水处理设备</w:t>
            </w:r>
            <w:r>
              <w:rPr>
                <w:rFonts w:hint="default" w:ascii="Times New Roman" w:hAnsi="Times New Roman" w:eastAsia="仿宋" w:cs="Times New Roman"/>
                <w:color w:val="000000"/>
                <w:sz w:val="24"/>
                <w:szCs w:val="24"/>
                <w:shd w:val="clear" w:color="auto" w:fill="FFFFFF"/>
                <w:lang w:eastAsia="zh-CN"/>
              </w:rPr>
              <w:t>（净水槽）</w:t>
            </w:r>
            <w:r>
              <w:rPr>
                <w:rFonts w:hint="default" w:ascii="Times New Roman" w:hAnsi="Times New Roman" w:eastAsia="仿宋" w:cs="Times New Roman"/>
                <w:color w:val="000000"/>
                <w:sz w:val="24"/>
                <w:szCs w:val="24"/>
                <w:shd w:val="clear" w:color="auto" w:fill="FFFFFF"/>
              </w:rPr>
              <w:t>项目、河北雄沃机械制造有限公司中药材收割机配件项目、邢台市睿航新材料科技有限公司自行车童车玩具零配件项目、邢台奥焜机械配件有限公司机车配件项目。</w:t>
            </w:r>
            <w:r>
              <w:rPr>
                <w:rFonts w:hint="default" w:ascii="Times New Roman" w:hAnsi="Times New Roman" w:eastAsia="仿宋" w:cs="Times New Roman"/>
                <w:b/>
                <w:bCs/>
                <w:color w:val="000000"/>
                <w:sz w:val="24"/>
                <w:szCs w:val="24"/>
                <w:shd w:val="clear" w:color="auto" w:fill="FFFFFF"/>
              </w:rPr>
              <w:t>橡塑产业，</w:t>
            </w:r>
            <w:r>
              <w:rPr>
                <w:rFonts w:hint="default" w:ascii="Times New Roman" w:hAnsi="Times New Roman" w:eastAsia="仿宋" w:cs="Times New Roman"/>
                <w:color w:val="000000"/>
                <w:sz w:val="24"/>
                <w:szCs w:val="24"/>
                <w:shd w:val="clear" w:color="auto" w:fill="FFFFFF"/>
              </w:rPr>
              <w:t>河北巨优科技有限公司智能制造新能源汽车轮胎与电动车轮胎项目、河北亚博橡胶制品科技有限公司汽车零配件项目、河北亿巨橡胶科技有限公司电动车轮胎项目、河北皇泰轮胎有限公司子午线轮胎项目、河北万锦轮胎有限公司子午线轮胎项目、河北久耐电动车配件有限公司高性能子午线轮胎与碳纤维自行车配件项目。</w:t>
            </w:r>
          </w:p>
          <w:p w14:paraId="4049D424">
            <w:pPr>
              <w:keepNext w:val="0"/>
              <w:keepLines w:val="0"/>
              <w:pageBreakBefore w:val="0"/>
              <w:widowControl w:val="0"/>
              <w:kinsoku/>
              <w:wordWrap/>
              <w:overflowPunct w:val="0"/>
              <w:topLinePunct w:val="0"/>
              <w:autoSpaceDE w:val="0"/>
              <w:autoSpaceDN w:val="0"/>
              <w:bidi w:val="0"/>
              <w:adjustRightInd/>
              <w:snapToGrid/>
              <w:spacing w:line="420" w:lineRule="exact"/>
              <w:ind w:firstLine="482" w:firstLineChars="200"/>
              <w:textAlignment w:val="auto"/>
              <w:rPr>
                <w:rFonts w:hint="default" w:ascii="Times New Roman" w:hAnsi="Times New Roman" w:eastAsia="仿宋" w:cs="Times New Roman"/>
                <w:color w:val="000000"/>
                <w:sz w:val="24"/>
                <w:szCs w:val="24"/>
                <w:shd w:val="clear" w:color="auto" w:fill="FFFFFF"/>
                <w:lang w:eastAsia="zh-CN"/>
              </w:rPr>
            </w:pPr>
            <w:r>
              <w:rPr>
                <w:rFonts w:hint="default" w:ascii="Times New Roman" w:hAnsi="Times New Roman" w:eastAsia="仿宋" w:cs="Times New Roman"/>
                <w:b/>
                <w:bCs/>
                <w:color w:val="000000"/>
                <w:sz w:val="24"/>
                <w:szCs w:val="24"/>
                <w:shd w:val="clear" w:color="auto" w:fill="FFFFFF"/>
              </w:rPr>
              <w:t>新能源产业：</w:t>
            </w:r>
            <w:r>
              <w:rPr>
                <w:rFonts w:hint="default" w:ascii="Times New Roman" w:hAnsi="Times New Roman" w:eastAsia="仿宋" w:cs="Times New Roman"/>
                <w:color w:val="000000"/>
                <w:sz w:val="24"/>
                <w:szCs w:val="24"/>
                <w:shd w:val="clear" w:color="auto" w:fill="FFFFFF"/>
              </w:rPr>
              <w:t>海巨（巨鹿县）新能源科技有限公司新建海巨能源零碳循环产业基地项目、中科光储展广风电项目、华能巨鹿县风电项目、精睿新能源巨鹿10万千瓦风电项目、先睿新能源巨鹿10万千瓦风电项目</w:t>
            </w:r>
            <w:r>
              <w:rPr>
                <w:rFonts w:hint="default"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中鑫国发科技（北京）集团有限公司高效新能源电池储能PACK包智能化生产基地项目（两山二期）、河北天一电器有限公司铅碳储能电池项目</w:t>
            </w:r>
            <w:r>
              <w:rPr>
                <w:rFonts w:hint="default" w:ascii="Times New Roman" w:hAnsi="Times New Roman" w:eastAsia="仿宋" w:cs="Times New Roman"/>
                <w:color w:val="000000"/>
                <w:sz w:val="24"/>
                <w:szCs w:val="24"/>
                <w:shd w:val="clear" w:color="auto" w:fill="FFFFFF"/>
                <w:lang w:eastAsia="zh-CN"/>
              </w:rPr>
              <w:t>。</w:t>
            </w:r>
          </w:p>
          <w:p w14:paraId="4E8DE2EF">
            <w:pPr>
              <w:keepNext w:val="0"/>
              <w:keepLines w:val="0"/>
              <w:pageBreakBefore w:val="0"/>
              <w:widowControl w:val="0"/>
              <w:kinsoku/>
              <w:wordWrap/>
              <w:overflowPunct w:val="0"/>
              <w:topLinePunct w:val="0"/>
              <w:autoSpaceDE w:val="0"/>
              <w:autoSpaceDN w:val="0"/>
              <w:bidi w:val="0"/>
              <w:adjustRightInd/>
              <w:snapToGrid/>
              <w:spacing w:line="420" w:lineRule="exact"/>
              <w:ind w:firstLine="482"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b/>
                <w:bCs/>
                <w:color w:val="000000"/>
                <w:sz w:val="24"/>
                <w:szCs w:val="24"/>
                <w:shd w:val="clear" w:color="auto" w:fill="FFFFFF"/>
              </w:rPr>
              <w:t>食品加工产业：</w:t>
            </w:r>
            <w:r>
              <w:rPr>
                <w:rFonts w:hint="default" w:ascii="Times New Roman" w:hAnsi="Times New Roman" w:eastAsia="仿宋" w:cs="Times New Roman"/>
                <w:color w:val="000000"/>
                <w:sz w:val="24"/>
                <w:szCs w:val="24"/>
                <w:shd w:val="clear" w:color="auto" w:fill="FFFFFF"/>
              </w:rPr>
              <w:t>河北得丰糖业有限公司无线冰糖项目、深标供应链管理（河北）有限公司新建老年用品</w:t>
            </w:r>
            <w:r>
              <w:rPr>
                <w:rFonts w:hint="default" w:ascii="Times New Roman" w:hAnsi="Times New Roman" w:eastAsia="仿宋" w:cs="Times New Roman"/>
                <w:color w:val="000000"/>
                <w:sz w:val="24"/>
                <w:szCs w:val="24"/>
                <w:shd w:val="clear" w:color="auto" w:fill="FFFFFF"/>
                <w:lang w:val="en-US" w:eastAsia="zh-CN"/>
              </w:rPr>
              <w:t>和</w:t>
            </w:r>
            <w:r>
              <w:rPr>
                <w:rFonts w:hint="default" w:ascii="Times New Roman" w:hAnsi="Times New Roman" w:eastAsia="仿宋" w:cs="Times New Roman"/>
                <w:color w:val="000000"/>
                <w:sz w:val="24"/>
                <w:szCs w:val="24"/>
                <w:shd w:val="clear" w:color="auto" w:fill="FFFFFF"/>
              </w:rPr>
              <w:t>食品的生产研发健康养老综合体项目、深圳协莱康消毒剂有限公司老年功能性用品与老年食品生产项目、河北鑫盛瑞源饮品有限责任公司新建金银花深加工项目、巨鹿县水仙花酒业有限公司白酒项目。</w:t>
            </w:r>
          </w:p>
          <w:p w14:paraId="384037C0">
            <w:pPr>
              <w:keepNext w:val="0"/>
              <w:keepLines w:val="0"/>
              <w:pageBreakBefore w:val="0"/>
              <w:widowControl w:val="0"/>
              <w:kinsoku/>
              <w:wordWrap/>
              <w:overflowPunct w:val="0"/>
              <w:topLinePunct w:val="0"/>
              <w:autoSpaceDE w:val="0"/>
              <w:autoSpaceDN w:val="0"/>
              <w:bidi w:val="0"/>
              <w:adjustRightInd/>
              <w:snapToGrid/>
              <w:spacing w:line="420" w:lineRule="exact"/>
              <w:ind w:firstLine="482"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b/>
                <w:bCs/>
                <w:color w:val="000000"/>
                <w:sz w:val="24"/>
                <w:szCs w:val="24"/>
                <w:shd w:val="clear" w:color="auto" w:fill="FFFFFF"/>
              </w:rPr>
              <w:t>纺织服装和智能家居产业：</w:t>
            </w:r>
            <w:r>
              <w:rPr>
                <w:rFonts w:hint="default" w:ascii="Times New Roman" w:hAnsi="Times New Roman" w:eastAsia="仿宋" w:cs="Times New Roman"/>
                <w:color w:val="000000"/>
                <w:sz w:val="24"/>
                <w:szCs w:val="24"/>
                <w:shd w:val="clear" w:color="auto" w:fill="FFFFFF"/>
              </w:rPr>
              <w:t>巨鹿县源信铝家居科技有限公司铝制品家具及金属制品项目、河北佰信达实业有限公司服装项目。</w:t>
            </w:r>
          </w:p>
          <w:p w14:paraId="1BBAF233">
            <w:pPr>
              <w:keepNext w:val="0"/>
              <w:keepLines w:val="0"/>
              <w:pageBreakBefore w:val="0"/>
              <w:widowControl w:val="0"/>
              <w:kinsoku/>
              <w:wordWrap/>
              <w:overflowPunct w:val="0"/>
              <w:topLinePunct w:val="0"/>
              <w:autoSpaceDE w:val="0"/>
              <w:autoSpaceDN w:val="0"/>
              <w:bidi w:val="0"/>
              <w:adjustRightInd/>
              <w:snapToGrid/>
              <w:spacing w:line="420" w:lineRule="exact"/>
              <w:ind w:firstLine="482" w:firstLineChars="200"/>
              <w:textAlignment w:val="auto"/>
              <w:rPr>
                <w:rFonts w:hint="default" w:ascii="Times New Roman" w:hAnsi="Times New Roman" w:eastAsia="仿宋" w:cs="Times New Roman"/>
                <w:b/>
                <w:bCs/>
                <w:color w:val="000000"/>
                <w:sz w:val="24"/>
                <w:szCs w:val="24"/>
                <w:shd w:val="clear" w:color="auto" w:fill="FFFFFF"/>
              </w:rPr>
            </w:pPr>
            <w:r>
              <w:rPr>
                <w:rFonts w:hint="default" w:ascii="Times New Roman" w:hAnsi="Times New Roman" w:eastAsia="仿宋" w:cs="Times New Roman"/>
                <w:b/>
                <w:bCs/>
                <w:color w:val="000000"/>
                <w:sz w:val="24"/>
                <w:szCs w:val="24"/>
                <w:shd w:val="clear" w:color="auto" w:fill="FFFFFF"/>
              </w:rPr>
              <w:t>服务业：</w:t>
            </w:r>
            <w:r>
              <w:rPr>
                <w:rFonts w:hint="default" w:ascii="Times New Roman" w:hAnsi="Times New Roman" w:eastAsia="仿宋" w:cs="Times New Roman"/>
                <w:color w:val="000000"/>
                <w:sz w:val="24"/>
                <w:szCs w:val="24"/>
                <w:shd w:val="clear" w:color="auto" w:fill="FFFFFF"/>
              </w:rPr>
              <w:t>北部新区商业综合体项目、康养酒店项目、冀中南智慧物流（邢台）产业园项目</w:t>
            </w:r>
            <w:r>
              <w:rPr>
                <w:rFonts w:hint="default" w:ascii="Times New Roman" w:hAnsi="Times New Roman" w:eastAsia="仿宋" w:cs="Times New Roman"/>
                <w:color w:val="000000"/>
                <w:sz w:val="24"/>
                <w:szCs w:val="24"/>
                <w:shd w:val="clear" w:color="auto" w:fill="FFFFFF"/>
                <w:lang w:eastAsia="zh-CN"/>
              </w:rPr>
              <w:t>（包括园内加油站、加气站及充电桩等附属设施建设）</w:t>
            </w:r>
            <w:r>
              <w:rPr>
                <w:rFonts w:hint="default" w:ascii="Times New Roman" w:hAnsi="Times New Roman" w:eastAsia="仿宋" w:cs="Times New Roman"/>
                <w:color w:val="000000"/>
                <w:sz w:val="24"/>
                <w:szCs w:val="24"/>
                <w:shd w:val="clear" w:color="auto" w:fill="FFFFFF"/>
              </w:rPr>
              <w:t>。</w:t>
            </w:r>
          </w:p>
        </w:tc>
      </w:tr>
    </w:tbl>
    <w:p w14:paraId="2B279442">
      <w:pPr>
        <w:keepNext w:val="0"/>
        <w:keepLines w:val="0"/>
        <w:pageBreakBefore w:val="0"/>
        <w:widowControl w:val="0"/>
        <w:kinsoku/>
        <w:wordWrap/>
        <w:overflowPunct w:val="0"/>
        <w:topLinePunct w:val="0"/>
        <w:autoSpaceDE w:val="0"/>
        <w:autoSpaceDN w:val="0"/>
        <w:bidi w:val="0"/>
        <w:spacing w:line="570" w:lineRule="exact"/>
        <w:contextualSpacing/>
        <w:jc w:val="both"/>
        <w:textAlignment w:val="auto"/>
        <w:outlineLvl w:val="0"/>
        <w:rPr>
          <w:rFonts w:hint="default" w:ascii="Times New Roman" w:hAnsi="Times New Roman" w:eastAsia="黑体" w:cs="Times New Roman"/>
          <w:bCs/>
          <w:color w:val="000000"/>
          <w:sz w:val="32"/>
          <w:szCs w:val="28"/>
        </w:rPr>
      </w:pPr>
      <w:bookmarkStart w:id="40" w:name="_Toc6776"/>
      <w:bookmarkStart w:id="41" w:name="_Toc4245"/>
      <w:r>
        <w:rPr>
          <w:rFonts w:hint="default" w:ascii="Times New Roman" w:hAnsi="Times New Roman" w:eastAsia="黑体" w:cs="Times New Roman"/>
          <w:bCs/>
          <w:color w:val="000000"/>
          <w:sz w:val="32"/>
          <w:szCs w:val="28"/>
        </w:rPr>
        <w:br w:type="page"/>
      </w:r>
      <w:r>
        <w:rPr>
          <w:rFonts w:hint="default" w:ascii="Times New Roman" w:hAnsi="Times New Roman" w:eastAsia="黑体" w:cs="Times New Roman"/>
          <w:bCs/>
          <w:color w:val="000000"/>
          <w:sz w:val="32"/>
          <w:szCs w:val="28"/>
        </w:rPr>
        <w:t>第四章</w:t>
      </w:r>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加快创新型巨鹿建设，以科技创新引领新质生产力发展</w:t>
      </w:r>
      <w:bookmarkEnd w:id="40"/>
      <w:bookmarkEnd w:id="41"/>
    </w:p>
    <w:p w14:paraId="13ACA3E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完善创新体系，优化创新生态，厚植创新能力，加快构建支持全面创新的体制机制，推动科技创新和产业创新深度融合，营造良好创新环境。</w:t>
      </w:r>
    </w:p>
    <w:p w14:paraId="200BA099">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_GB2312" w:cs="Times New Roman"/>
          <w:b/>
          <w:color w:val="000000"/>
          <w:sz w:val="32"/>
          <w:szCs w:val="32"/>
        </w:rPr>
      </w:pPr>
      <w:bookmarkStart w:id="42" w:name="_Toc12820"/>
      <w:bookmarkStart w:id="43" w:name="_Toc8445"/>
      <w:r>
        <w:rPr>
          <w:rFonts w:hint="default" w:ascii="Times New Roman" w:hAnsi="Times New Roman" w:eastAsia="楷体" w:cs="Times New Roman"/>
          <w:b/>
          <w:color w:val="000000"/>
          <w:sz w:val="32"/>
          <w:szCs w:val="28"/>
        </w:rPr>
        <w:t>第一节 打造高水平创新平台</w:t>
      </w:r>
      <w:bookmarkEnd w:id="42"/>
      <w:bookmarkEnd w:id="43"/>
    </w:p>
    <w:p w14:paraId="49CCEB8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加强对创新平台的规划布局和动态管理，聚焦产业链布局创新链，依托高水平创新平台推动产业加快提档升级。</w:t>
      </w:r>
    </w:p>
    <w:p w14:paraId="1FC3B5E9">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一、发挥产学研平台作用。</w:t>
      </w:r>
      <w:r>
        <w:rPr>
          <w:rFonts w:hint="default" w:ascii="Times New Roman" w:hAnsi="Times New Roman" w:eastAsia="仿宋_GB2312" w:cs="Times New Roman"/>
          <w:color w:val="000000"/>
          <w:sz w:val="32"/>
          <w:szCs w:val="32"/>
        </w:rPr>
        <w:t>支持引导汇工重型工程装备产业技术研究院、黑一共享实验室等平台，加大重型工程机械动力总成、橡塑制品质量工艺等技术研发攻关，突破高端装备零部件产业集群关键共性技术，着力提升产业集群核心竞争力。依托省级金银花产业研究院，深化与河北省</w:t>
      </w:r>
      <w:r>
        <w:rPr>
          <w:rFonts w:hint="eastAsia" w:eastAsia="仿宋_GB2312" w:cs="Times New Roman"/>
          <w:color w:val="000000"/>
          <w:sz w:val="32"/>
          <w:szCs w:val="32"/>
          <w:lang w:val="en-US" w:eastAsia="zh-CN"/>
        </w:rPr>
        <w:t>科学</w:t>
      </w:r>
      <w:r>
        <w:rPr>
          <w:rFonts w:hint="default" w:ascii="Times New Roman" w:hAnsi="Times New Roman" w:eastAsia="仿宋_GB2312" w:cs="Times New Roman"/>
          <w:color w:val="000000"/>
          <w:sz w:val="32"/>
          <w:szCs w:val="32"/>
        </w:rPr>
        <w:t>院合作，加大金银花高效采摘、病虫害防治、药物成分提取等产业需求技术科研攻关，着力提升金银花产业发展质效。</w:t>
      </w:r>
    </w:p>
    <w:p w14:paraId="3F6D7B1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二、支持推进协同创新。</w:t>
      </w:r>
      <w:r>
        <w:rPr>
          <w:rFonts w:hint="default" w:ascii="Times New Roman" w:hAnsi="Times New Roman" w:eastAsia="仿宋_GB2312" w:cs="Times New Roman"/>
          <w:color w:val="000000"/>
          <w:sz w:val="32"/>
          <w:szCs w:val="32"/>
        </w:rPr>
        <w:t>建立健全协同创新机制，探索跨区域协同创新模式，积极融入和服务京津冀协同发展战略，加大京津高校院所等创新资源对接合作力度，紧密结合产业升级和企业发展需求，探索构建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京津研发、巨鹿转化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创新模式。以共享智造为核心抓手，深化区域内科技协同合作，支持龙头企业牵头组建产业创新联盟、创新联合体，推进产学研联合共建，构建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资源共享、优势互补、协同高效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的创新生态，带动产业链上中下游协同攻关，提升产业链企业集聚能力，推动大中小企业融通创新、成果共享。</w:t>
      </w:r>
    </w:p>
    <w:p w14:paraId="3723889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三、培育建设高端创新平台。</w:t>
      </w:r>
      <w:r>
        <w:rPr>
          <w:rFonts w:hint="default" w:ascii="Times New Roman" w:hAnsi="Times New Roman" w:eastAsia="仿宋_GB2312" w:cs="Times New Roman"/>
          <w:color w:val="000000"/>
          <w:sz w:val="32"/>
          <w:szCs w:val="32"/>
        </w:rPr>
        <w:t>鼓励支持龙头企业建设省级以上企业技术中心、工程研究中心，积极争取布局省级以上重点实验室、产业创新中心，承接重大科技创新专项，加速创新成果从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实验室</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生产线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转化。</w:t>
      </w:r>
    </w:p>
    <w:p w14:paraId="4A1EB8BD">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_GB2312" w:cs="Times New Roman"/>
          <w:b/>
          <w:color w:val="000000"/>
          <w:sz w:val="32"/>
          <w:szCs w:val="32"/>
        </w:rPr>
      </w:pPr>
      <w:bookmarkStart w:id="44" w:name="_Toc8118"/>
      <w:bookmarkStart w:id="45" w:name="_Toc26018"/>
      <w:r>
        <w:rPr>
          <w:rFonts w:hint="default" w:ascii="Times New Roman" w:hAnsi="Times New Roman" w:eastAsia="楷体" w:cs="Times New Roman"/>
          <w:b/>
          <w:color w:val="000000"/>
          <w:sz w:val="32"/>
          <w:szCs w:val="28"/>
        </w:rPr>
        <w:t>第二节 强化企业创新主体地位</w:t>
      </w:r>
      <w:bookmarkEnd w:id="44"/>
      <w:bookmarkEnd w:id="45"/>
    </w:p>
    <w:p w14:paraId="22FF343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一、壮大创新型企业群体。</w:t>
      </w:r>
      <w:r>
        <w:rPr>
          <w:rFonts w:hint="default" w:ascii="Times New Roman" w:hAnsi="Times New Roman" w:eastAsia="仿宋_GB2312" w:cs="Times New Roman"/>
          <w:color w:val="000000"/>
          <w:sz w:val="32"/>
          <w:szCs w:val="32"/>
        </w:rPr>
        <w:t>实施高新技术企业、专精特新企业、科技型中小企业倍增计划，建立分类梯次培育机制，促进各类优质要素向创新型企业集聚，着力培育一批高新技术企业、专精特新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小巨人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、制造业单项冠军和科技型中小企业队伍。</w:t>
      </w:r>
      <w:bookmarkStart w:id="46" w:name="OLE_LINK21"/>
      <w:r>
        <w:rPr>
          <w:rFonts w:hint="default" w:ascii="Times New Roman" w:hAnsi="Times New Roman" w:eastAsia="仿宋_GB2312" w:cs="Times New Roman"/>
          <w:color w:val="000000"/>
          <w:sz w:val="32"/>
          <w:szCs w:val="32"/>
        </w:rPr>
        <w:t>力争到2030年底，全县高新技术企业达到60家以上，省级以上</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专精特新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企业达到30家以上，科技型中小企业总数突破600家。</w:t>
      </w:r>
    </w:p>
    <w:bookmarkEnd w:id="46"/>
    <w:p w14:paraId="6F2FCAB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二、支持引导企业加大创新投入。</w:t>
      </w:r>
      <w:r>
        <w:rPr>
          <w:rFonts w:hint="default" w:ascii="Times New Roman" w:hAnsi="Times New Roman" w:eastAsia="仿宋_GB2312" w:cs="Times New Roman"/>
          <w:color w:val="000000"/>
          <w:sz w:val="32"/>
          <w:szCs w:val="32"/>
        </w:rPr>
        <w:t>深化政策激励，全面落实企业研发费用加计扣除比例政策，探索实行创新积分制激励措施，稳步提高财政支持科技创新资金比例，谋划设立创新引导基金，着力激发企业自主创新能动性。精准选派科技特派团，完善科技成果转化展示交易平台，优化科技成果转移转化服务体系，助力科研成果尽快落地应用。力争</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期间，企业研发投入年均增长6.2%以上，全社会研发投入强度达到2%以上。</w:t>
      </w:r>
    </w:p>
    <w:p w14:paraId="29C5F50C">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_GB2312" w:cs="Times New Roman"/>
          <w:b/>
          <w:color w:val="000000"/>
          <w:sz w:val="32"/>
          <w:szCs w:val="32"/>
        </w:rPr>
      </w:pPr>
      <w:bookmarkStart w:id="47" w:name="_Toc3649"/>
      <w:bookmarkStart w:id="48" w:name="_Toc16670"/>
      <w:r>
        <w:rPr>
          <w:rFonts w:hint="default" w:ascii="Times New Roman" w:hAnsi="Times New Roman" w:eastAsia="楷体" w:cs="Times New Roman"/>
          <w:b/>
          <w:color w:val="000000"/>
          <w:sz w:val="32"/>
          <w:szCs w:val="28"/>
        </w:rPr>
        <w:t>第三节 构筑人才创新高地</w:t>
      </w:r>
      <w:bookmarkEnd w:id="47"/>
      <w:bookmarkEnd w:id="48"/>
    </w:p>
    <w:p w14:paraId="7D049E3A">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坚持人才第一资源理念，深入实施人才强县战略，围绕人才重点需求，深化产才融合，加大人才引育力度，优化人才服务保障机制，着力打造人才创新高地。</w:t>
      </w:r>
    </w:p>
    <w:p w14:paraId="30946E3A">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一、实施高素质企业家培育工程。</w:t>
      </w:r>
      <w:r>
        <w:rPr>
          <w:rFonts w:hint="default" w:ascii="Times New Roman" w:hAnsi="Times New Roman" w:eastAsia="仿宋_GB2312" w:cs="Times New Roman"/>
          <w:color w:val="000000"/>
          <w:sz w:val="32"/>
          <w:szCs w:val="32"/>
        </w:rPr>
        <w:t>持续开展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青蓝邢动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、企业家培育蛟龙计划，重点扶持科技型、外向型、规模型的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创二代</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引导开展培训研修、产业交流、外出学习等活动，促进县内企业家开放思想、开阔视野，积极引导企业加强职业经理人等高层管理型人才招引力度，提升现代企业管理能力和水平，着力打造一批高素质民营企业家队伍。</w:t>
      </w:r>
    </w:p>
    <w:p w14:paraId="36E07FE9">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二、实施高技术人才引育工程。</w:t>
      </w:r>
      <w:r>
        <w:rPr>
          <w:rFonts w:hint="default" w:ascii="Times New Roman" w:hAnsi="Times New Roman" w:eastAsia="仿宋_GB2312" w:cs="Times New Roman"/>
          <w:color w:val="000000"/>
          <w:sz w:val="32"/>
          <w:szCs w:val="32"/>
        </w:rPr>
        <w:t>开展助企引智行动，畅通人才交流通道，拓展企业与高校、科研机构合作空间，推动企业技术攻关和人才培养双提升。实施产教融合行动，鼓励企业与县内外职业技术院校建设联合培养基地，精准对接企业需求，加强定向招聘和培训，加强产业工人队伍建设，培育更多高素质产业工人，助力企业壮大、产业发展。</w:t>
      </w:r>
    </w:p>
    <w:p w14:paraId="3CE77CB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三、实施人才服务优化行动。</w:t>
      </w:r>
      <w:r>
        <w:rPr>
          <w:rFonts w:hint="default" w:ascii="Times New Roman" w:hAnsi="Times New Roman" w:eastAsia="仿宋_GB2312" w:cs="Times New Roman"/>
          <w:color w:val="000000"/>
          <w:sz w:val="32"/>
          <w:szCs w:val="32"/>
        </w:rPr>
        <w:t>建立完善政治引导、选拔激励、教育培训和联系服务等工作机制，加强人才安居、医疗、教育保障，全面提升人才公共服务能级，提升人才引育质效，为人才成长营造良好环境。</w:t>
      </w:r>
    </w:p>
    <w:p w14:paraId="4B4CE41B">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49" w:name="_Toc29484"/>
      <w:bookmarkStart w:id="50" w:name="_Toc15339"/>
      <w:r>
        <w:rPr>
          <w:rFonts w:hint="default" w:ascii="Times New Roman" w:hAnsi="Times New Roman" w:eastAsia="楷体" w:cs="Times New Roman"/>
          <w:b/>
          <w:color w:val="000000"/>
          <w:sz w:val="32"/>
          <w:szCs w:val="28"/>
        </w:rPr>
        <w:t>第四节 构建更有活力的创新生态</w:t>
      </w:r>
      <w:bookmarkEnd w:id="49"/>
      <w:bookmarkEnd w:id="50"/>
    </w:p>
    <w:p w14:paraId="50A4D51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rPr>
        <w:t>积极构建以政府投入为引导、企业投入为主体、社会资本广泛参与的多元化科技投入体系，着力</w:t>
      </w:r>
      <w:r>
        <w:rPr>
          <w:rFonts w:hint="default" w:ascii="Times New Roman" w:hAnsi="Times New Roman" w:eastAsia="仿宋_GB2312" w:cs="Times New Roman"/>
          <w:color w:val="000000"/>
          <w:sz w:val="32"/>
          <w:szCs w:val="32"/>
        </w:rPr>
        <w:t>强化财政投入保障机制，持续提高资金使用效益。以创新能力、质量、实效、贡献为评价导向，深化项目评审、机构评估、人才评价、收入分配改革，探索实行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揭榜挂帅</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赛马制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等制度，激发全社会创新动力和活力。强化科技创新金融支持，引导县域金融机构探索推出更多金融产品，</w:t>
      </w:r>
      <w:r>
        <w:rPr>
          <w:rFonts w:hint="default" w:ascii="Times New Roman" w:hAnsi="Times New Roman" w:eastAsia="仿宋_GB2312" w:cs="Times New Roman"/>
          <w:color w:val="000000"/>
          <w:kern w:val="0"/>
          <w:sz w:val="32"/>
          <w:szCs w:val="32"/>
        </w:rPr>
        <w:t>大力推广知识产权质押融资，拓宽轻资产科技型企业融资渠道，</w:t>
      </w:r>
      <w:r>
        <w:rPr>
          <w:rFonts w:hint="default" w:ascii="Times New Roman" w:hAnsi="Times New Roman" w:eastAsia="仿宋_GB2312" w:cs="Times New Roman"/>
          <w:color w:val="000000"/>
          <w:sz w:val="32"/>
          <w:szCs w:val="32"/>
        </w:rPr>
        <w:t>加快形成高质量科技金融服务体系，为科技创新提供全链条金融服务，力争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期间，全县金融贷款投放用于支持科技创新占比年均提高1个百分点。加强知识产权保护和运用，建立打击知识产权违法犯罪行为常态化机制。</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6"/>
      </w:tblGrid>
      <w:tr w14:paraId="00C8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8776" w:type="dxa"/>
            <w:noWrap w:val="0"/>
            <w:vAlign w:val="center"/>
          </w:tcPr>
          <w:p w14:paraId="6492BC70">
            <w:pPr>
              <w:spacing w:line="600" w:lineRule="exact"/>
              <w:jc w:val="center"/>
              <w:rPr>
                <w:rFonts w:hint="default" w:ascii="Times New Roman" w:hAnsi="Times New Roman" w:eastAsia="楷体" w:cs="Times New Roman"/>
                <w:color w:val="000000"/>
                <w:sz w:val="28"/>
                <w:szCs w:val="28"/>
              </w:rPr>
            </w:pPr>
            <w:r>
              <w:rPr>
                <w:rFonts w:hint="default" w:ascii="Times New Roman" w:hAnsi="Times New Roman" w:eastAsia="楷体" w:cs="Times New Roman"/>
                <w:b/>
                <w:bCs/>
                <w:color w:val="000000"/>
                <w:sz w:val="28"/>
                <w:szCs w:val="28"/>
              </w:rPr>
              <w:t>专栏4-1  科技创新重大工程</w:t>
            </w:r>
          </w:p>
        </w:tc>
      </w:tr>
      <w:tr w14:paraId="2CF2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776" w:type="dxa"/>
            <w:noWrap w:val="0"/>
            <w:vAlign w:val="center"/>
          </w:tcPr>
          <w:p w14:paraId="58543F0F">
            <w:pPr>
              <w:keepNext w:val="0"/>
              <w:keepLines w:val="0"/>
              <w:pageBreakBefore w:val="0"/>
              <w:widowControl/>
              <w:kinsoku/>
              <w:wordWrap/>
              <w:overflowPunct w:val="0"/>
              <w:topLinePunct w:val="0"/>
              <w:autoSpaceDE w:val="0"/>
              <w:autoSpaceDN w:val="0"/>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创新平台建设工程。引进重大创新平台，培育新型研发机构，加快推动企业院士工作站、省级技术创新中心、省级产品质量检验检测中心、省级科技企业孵化器、省级企业技术中心、博士后科研工作站（创新实践基地）、产业创新战略联盟、创新联合体、众创空间等研发平台的建设，到2030年，新增省级创新服务平台总数超过15家以上。</w:t>
            </w:r>
          </w:p>
          <w:p w14:paraId="25CB84E0">
            <w:pPr>
              <w:keepNext w:val="0"/>
              <w:keepLines w:val="0"/>
              <w:pageBreakBefore w:val="0"/>
              <w:widowControl/>
              <w:kinsoku/>
              <w:wordWrap/>
              <w:topLinePunct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2.协同创新示范工程。积极推进与京津等科技创新源头的对接，共建一批以京津冀协同创新为主体的科技成果中试孵化基地、产业园和产业技术创新战略联盟。完善科技成果推广与综合服务系统，在转化京津成果、搭建服务平台、创新体制机制、落实有关政策上取得明显成效。大力引进院士团队</w:t>
            </w:r>
            <w:r>
              <w:rPr>
                <w:rFonts w:hint="eastAsia"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国内一流的研发机构，不断提升合作层次，提高合作实效。</w:t>
            </w:r>
            <w:bookmarkStart w:id="215" w:name="_GoBack"/>
            <w:bookmarkEnd w:id="215"/>
          </w:p>
          <w:p w14:paraId="52B58990">
            <w:pPr>
              <w:keepNext w:val="0"/>
              <w:keepLines w:val="0"/>
              <w:pageBreakBefore w:val="0"/>
              <w:widowControl/>
              <w:kinsoku/>
              <w:wordWrap/>
              <w:topLinePunct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3.创新主体壮大工程。实施高新技术企业、科技型中小企业、专精特新企业倍增计划，推动县域内各类创新主体提质增量，力争到2030年底，全县高新技术企业达到60家以上，省级以上</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专精特新</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企业达到30家以上，科技型中小企业总数突破600家。</w:t>
            </w:r>
          </w:p>
        </w:tc>
      </w:tr>
    </w:tbl>
    <w:p w14:paraId="76778223">
      <w:pPr>
        <w:adjustRightInd w:val="0"/>
        <w:snapToGrid w:val="0"/>
        <w:spacing w:line="600" w:lineRule="exact"/>
        <w:rPr>
          <w:rFonts w:hint="default" w:ascii="Times New Roman" w:hAnsi="Times New Roman" w:eastAsia="仿宋_GB2312" w:cs="Times New Roman"/>
          <w:color w:val="000000"/>
          <w:sz w:val="32"/>
          <w:szCs w:val="32"/>
        </w:rPr>
      </w:pPr>
    </w:p>
    <w:p w14:paraId="428C396A">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bookmarkStart w:id="51" w:name="_Toc8390"/>
      <w:bookmarkStart w:id="52" w:name="_Toc5288"/>
      <w:r>
        <w:rPr>
          <w:rFonts w:hint="default" w:ascii="Times New Roman" w:hAnsi="Times New Roman" w:eastAsia="黑体" w:cs="Times New Roman"/>
          <w:bCs/>
          <w:color w:val="000000"/>
          <w:sz w:val="32"/>
          <w:szCs w:val="28"/>
        </w:rPr>
        <w:br w:type="page"/>
      </w:r>
      <w:r>
        <w:rPr>
          <w:rFonts w:hint="default" w:ascii="Times New Roman" w:hAnsi="Times New Roman" w:eastAsia="黑体" w:cs="Times New Roman"/>
          <w:bCs/>
          <w:color w:val="000000"/>
          <w:sz w:val="32"/>
          <w:szCs w:val="28"/>
        </w:rPr>
        <w:t>第五章</w:t>
      </w:r>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持续扩大有效需求，积极融入全国统一大市场建设</w:t>
      </w:r>
      <w:bookmarkEnd w:id="51"/>
      <w:bookmarkEnd w:id="52"/>
    </w:p>
    <w:p w14:paraId="16490FC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充分发挥消费的基础性作用和投资的关键作用，促进消费和投资、供给和需求的良性互动，持续优化市场秩序，推动经济实现良性循环。</w:t>
      </w:r>
    </w:p>
    <w:p w14:paraId="4357185C">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53" w:name="_Toc15477"/>
      <w:bookmarkStart w:id="54" w:name="_Toc22738"/>
      <w:r>
        <w:rPr>
          <w:rFonts w:hint="default" w:ascii="Times New Roman" w:hAnsi="Times New Roman" w:eastAsia="楷体" w:cs="Times New Roman"/>
          <w:b/>
          <w:color w:val="000000"/>
          <w:sz w:val="32"/>
          <w:szCs w:val="28"/>
        </w:rPr>
        <w:t>第一节 大力提振消费</w:t>
      </w:r>
      <w:bookmarkEnd w:id="53"/>
      <w:bookmarkEnd w:id="54"/>
    </w:p>
    <w:p w14:paraId="36272D3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一、政策促动提振消费</w:t>
      </w:r>
    </w:p>
    <w:p w14:paraId="63485D2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深入实施提振消费专项行动，用好商务和金融协同促消费政策，推出更多促消费措施，提振消费活力。把握加力扩围实施消费品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以旧换新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政策机遇，带动家电和通讯设备等领域需求增长，激发消费者消费意愿。推动金融机构与平台、重点商户合作，走进商超卖场，完善分期付款、信用卡、手机银行、数字人民币等产品服务模式，更好满足消费者需求。落实好个人消费贷款额度、期限、利率差异化政策，精准实施贷款贴息，降低个人消费信贷成本。发挥政府消费券带动作用，引导商户发放企业让利券，提振消费市场活力，撬动消费增长。</w:t>
      </w:r>
    </w:p>
    <w:p w14:paraId="545D828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二、商圈带动提振消费</w:t>
      </w:r>
    </w:p>
    <w:p w14:paraId="4AFA20D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实施商圈街区改造提升行动。完善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3+9+N</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县域商贸服务体系，提升消费活跃度。推进县城商圈提升，对喜德来购物广场进行升级改造，与家乐园·百货、信誉商厦互相补充，实现错位经营、差异化发展，形成各具特色，可满足不同层次消费群体需求的城区商贸体系。推进乡镇商圈优化，依托9个乡镇商贸中心，对周边店铺进行整合，汇聚购物、餐饮、休闲、娱乐、快递等服务功能，形成区域中心，带动乡村消费增长。推进便民生活圈建设，在小区聚集、人口密集区域，依托西王杨建材市场、西街市场、金银花全产业链市场以及北部新区商业综合体等各类载体，打造N个一刻钟便民生活圈，着力发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一店一早</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、补齐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一菜一修</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、服务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一老一小</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，优先配齐购物、餐饮、家政、快递、维修等基本保障类业态，因地制宜发展文化、娱乐、休闲、社交、康养、健身等品质提升类业态，更好满足群众就近多元消费体验。</w:t>
      </w:r>
    </w:p>
    <w:p w14:paraId="41441BF2">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三、场景拉动提振消费</w:t>
      </w:r>
    </w:p>
    <w:p w14:paraId="7CF9C49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发展赏花经济，依托杏花、金银花等特色资源以及遍布全域的休闲采摘点，积极开展踏青、赏花等系列活动，吸引带动周边群众赏美景、看特色，带动相关消费。发展赛事经济，常态化举办骑行、垂钓等赛事活动，积极组织健步走、马拉松等群众性体育活动，撬动旅游、体育、食宿等领域消费。发展假日经济，围绕元旦、春节、五一、国庆等节假日，依托大麓文博苑、大麓生态公园组织开展主题市集、文化展演、休闲娱乐等活动，聚拢人气、促进消费。</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2"/>
      </w:tblGrid>
      <w:tr w14:paraId="4DB4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2" w:type="dxa"/>
            <w:noWrap w:val="0"/>
            <w:vAlign w:val="center"/>
          </w:tcPr>
          <w:p w14:paraId="22B3ED62">
            <w:pPr>
              <w:spacing w:line="600" w:lineRule="exact"/>
              <w:jc w:val="center"/>
              <w:rPr>
                <w:rFonts w:hint="default" w:ascii="Times New Roman" w:hAnsi="Times New Roman" w:eastAsia="楷体" w:cs="Times New Roman"/>
                <w:color w:val="000000"/>
                <w:sz w:val="28"/>
                <w:szCs w:val="28"/>
              </w:rPr>
            </w:pPr>
            <w:r>
              <w:rPr>
                <w:rFonts w:hint="default" w:ascii="Times New Roman" w:hAnsi="Times New Roman" w:eastAsia="楷体" w:cs="Times New Roman"/>
                <w:b/>
                <w:bCs/>
                <w:color w:val="000000"/>
                <w:sz w:val="28"/>
                <w:szCs w:val="28"/>
              </w:rPr>
              <w:t>专栏5-1  提振消费重点项目</w:t>
            </w:r>
          </w:p>
        </w:tc>
      </w:tr>
      <w:tr w14:paraId="2EE3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792" w:type="dxa"/>
            <w:noWrap w:val="0"/>
            <w:vAlign w:val="center"/>
          </w:tcPr>
          <w:p w14:paraId="6617C8C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433" w:leftChars="206" w:firstLine="64" w:firstLineChars="27"/>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w:t>
            </w:r>
            <w:r>
              <w:rPr>
                <w:rFonts w:hint="default" w:ascii="Times New Roman" w:hAnsi="Times New Roman" w:eastAsia="仿宋" w:cs="Times New Roman"/>
                <w:color w:val="000000"/>
                <w:sz w:val="24"/>
                <w:szCs w:val="24"/>
                <w:shd w:val="clear" w:color="auto" w:fill="FFFFFF"/>
              </w:rPr>
              <w:t>喜德来购物广场升级改造项目</w:t>
            </w:r>
          </w:p>
          <w:p w14:paraId="4401188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433" w:leftChars="206" w:firstLine="64" w:firstLineChars="27"/>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2.</w:t>
            </w:r>
            <w:r>
              <w:rPr>
                <w:rFonts w:hint="default" w:ascii="Times New Roman" w:hAnsi="Times New Roman" w:eastAsia="仿宋" w:cs="Times New Roman"/>
                <w:color w:val="000000"/>
                <w:sz w:val="24"/>
                <w:szCs w:val="24"/>
                <w:shd w:val="clear" w:color="auto" w:fill="FFFFFF"/>
              </w:rPr>
              <w:t>全国金银花交易中心</w:t>
            </w:r>
          </w:p>
          <w:p w14:paraId="6EA22C8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433" w:leftChars="206" w:firstLine="64" w:firstLineChars="27"/>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3.</w:t>
            </w:r>
            <w:r>
              <w:rPr>
                <w:rFonts w:hint="default" w:ascii="Times New Roman" w:hAnsi="Times New Roman" w:eastAsia="仿宋" w:cs="Times New Roman"/>
                <w:color w:val="000000"/>
                <w:sz w:val="24"/>
                <w:szCs w:val="24"/>
                <w:shd w:val="clear" w:color="auto" w:fill="FFFFFF"/>
              </w:rPr>
              <w:t>枸杞交易集散地项目</w:t>
            </w:r>
          </w:p>
          <w:p w14:paraId="4270418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433" w:leftChars="206" w:firstLine="64" w:firstLineChars="27"/>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4.</w:t>
            </w:r>
            <w:r>
              <w:rPr>
                <w:rFonts w:hint="default" w:ascii="Times New Roman" w:hAnsi="Times New Roman" w:eastAsia="仿宋" w:cs="Times New Roman"/>
                <w:color w:val="000000"/>
                <w:sz w:val="24"/>
                <w:szCs w:val="24"/>
                <w:shd w:val="clear" w:color="auto" w:fill="FFFFFF"/>
              </w:rPr>
              <w:t>官亭镇、西郭城镇等9个乡镇商贸中心服务水平提升项目</w:t>
            </w:r>
          </w:p>
          <w:p w14:paraId="65F6C42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433" w:leftChars="206" w:firstLine="64" w:firstLineChars="27"/>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5.</w:t>
            </w:r>
            <w:r>
              <w:rPr>
                <w:rFonts w:hint="default" w:ascii="Times New Roman" w:hAnsi="Times New Roman" w:eastAsia="仿宋" w:cs="Times New Roman"/>
                <w:color w:val="000000"/>
                <w:sz w:val="24"/>
                <w:szCs w:val="24"/>
                <w:shd w:val="clear" w:color="auto" w:fill="FFFFFF"/>
              </w:rPr>
              <w:t>西街市场、商贸城消防系统升级、智慧安防、数字化嵌入等硬件改造项目</w:t>
            </w:r>
          </w:p>
          <w:p w14:paraId="6A782B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433" w:leftChars="206" w:firstLine="64" w:firstLineChars="27"/>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6.</w:t>
            </w:r>
            <w:r>
              <w:rPr>
                <w:rFonts w:hint="default" w:ascii="Times New Roman" w:hAnsi="Times New Roman" w:eastAsia="仿宋" w:cs="Times New Roman"/>
                <w:color w:val="000000"/>
                <w:sz w:val="24"/>
                <w:szCs w:val="24"/>
                <w:shd w:val="clear" w:color="auto" w:fill="FFFFFF"/>
              </w:rPr>
              <w:t>西王杨建材市场提升改造项目</w:t>
            </w:r>
          </w:p>
          <w:p w14:paraId="1C551FB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433" w:leftChars="206" w:firstLine="64" w:firstLineChars="27"/>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7.</w:t>
            </w:r>
            <w:r>
              <w:rPr>
                <w:rFonts w:hint="default" w:ascii="Times New Roman" w:hAnsi="Times New Roman" w:eastAsia="仿宋" w:cs="Times New Roman"/>
                <w:color w:val="000000"/>
                <w:sz w:val="24"/>
                <w:szCs w:val="24"/>
                <w:shd w:val="clear" w:color="auto" w:fill="FFFFFF"/>
              </w:rPr>
              <w:t>新建小区配建社区商业中心项目</w:t>
            </w:r>
          </w:p>
          <w:p w14:paraId="1BD7F57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433" w:leftChars="206" w:firstLine="64" w:firstLineChars="27"/>
              <w:textAlignment w:val="auto"/>
              <w:rPr>
                <w:rFonts w:hint="default" w:ascii="Times New Roman" w:hAnsi="Times New Roman" w:eastAsia="仿宋" w:cs="Times New Roman"/>
                <w:color w:val="FF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8.</w:t>
            </w:r>
            <w:r>
              <w:rPr>
                <w:rFonts w:hint="default" w:ascii="Times New Roman" w:hAnsi="Times New Roman" w:eastAsia="仿宋" w:cs="Times New Roman"/>
                <w:color w:val="000000"/>
                <w:sz w:val="24"/>
                <w:szCs w:val="24"/>
                <w:shd w:val="clear" w:color="auto" w:fill="FFFFFF"/>
              </w:rPr>
              <w:t>北部新区商业综合体项目</w:t>
            </w:r>
          </w:p>
        </w:tc>
      </w:tr>
    </w:tbl>
    <w:p w14:paraId="1059E4CD">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55" w:name="_Toc11345"/>
      <w:bookmarkStart w:id="56" w:name="_Toc18103"/>
      <w:r>
        <w:rPr>
          <w:rFonts w:hint="default" w:ascii="Times New Roman" w:hAnsi="Times New Roman" w:eastAsia="楷体" w:cs="Times New Roman"/>
          <w:b/>
          <w:color w:val="000000"/>
          <w:sz w:val="32"/>
          <w:szCs w:val="28"/>
        </w:rPr>
        <w:t>第二节 扩大有效投资</w:t>
      </w:r>
      <w:bookmarkEnd w:id="55"/>
      <w:bookmarkEnd w:id="56"/>
    </w:p>
    <w:p w14:paraId="757BF93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color w:val="000000"/>
          <w:sz w:val="32"/>
          <w:szCs w:val="32"/>
        </w:rPr>
      </w:pPr>
      <w:r>
        <w:rPr>
          <w:rStyle w:val="20"/>
          <w:rFonts w:hint="default" w:ascii="Times New Roman" w:hAnsi="Times New Roman" w:cs="Times New Roman"/>
          <w:color w:val="000000"/>
          <w:sz w:val="32"/>
          <w:szCs w:val="32"/>
        </w:rPr>
        <w:t>一、推动招商引资实现新突破</w:t>
      </w:r>
    </w:p>
    <w:p w14:paraId="10B1C138">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b w:val="0"/>
          <w:bCs w:val="0"/>
          <w:color w:val="000000"/>
          <w:sz w:val="32"/>
          <w:szCs w:val="32"/>
        </w:rPr>
      </w:pPr>
      <w:r>
        <w:rPr>
          <w:rStyle w:val="20"/>
          <w:rFonts w:hint="default" w:ascii="Times New Roman" w:hAnsi="Times New Roman" w:cs="Times New Roman"/>
          <w:bCs w:val="0"/>
          <w:color w:val="000000"/>
          <w:sz w:val="32"/>
          <w:szCs w:val="32"/>
        </w:rPr>
        <w:t>1.深化</w:t>
      </w:r>
      <w:r>
        <w:rPr>
          <w:rStyle w:val="20"/>
          <w:rFonts w:hint="eastAsia" w:ascii="Times New Roman" w:hAnsi="Times New Roman" w:eastAsia="仿宋_GB2312" w:cs="Times New Roman"/>
          <w:bCs w:val="0"/>
          <w:color w:val="000000"/>
          <w:sz w:val="32"/>
          <w:szCs w:val="32"/>
          <w:lang w:eastAsia="zh-CN"/>
        </w:rPr>
        <w:t>“</w:t>
      </w:r>
      <w:r>
        <w:rPr>
          <w:rStyle w:val="20"/>
          <w:rFonts w:hint="default" w:ascii="Times New Roman" w:hAnsi="Times New Roman" w:cs="Times New Roman"/>
          <w:bCs w:val="0"/>
          <w:color w:val="000000"/>
          <w:sz w:val="32"/>
          <w:szCs w:val="32"/>
        </w:rPr>
        <w:t>巨商回归</w:t>
      </w:r>
      <w:r>
        <w:rPr>
          <w:rStyle w:val="20"/>
          <w:rFonts w:hint="eastAsia" w:ascii="Times New Roman" w:hAnsi="Times New Roman" w:eastAsia="仿宋_GB2312" w:cs="Times New Roman"/>
          <w:bCs w:val="0"/>
          <w:color w:val="000000"/>
          <w:sz w:val="32"/>
          <w:szCs w:val="32"/>
          <w:lang w:eastAsia="zh-CN"/>
        </w:rPr>
        <w:t>”</w:t>
      </w:r>
      <w:r>
        <w:rPr>
          <w:rStyle w:val="20"/>
          <w:rFonts w:hint="default" w:ascii="Times New Roman" w:hAnsi="Times New Roman" w:cs="Times New Roman"/>
          <w:bCs w:val="0"/>
          <w:color w:val="000000"/>
          <w:sz w:val="32"/>
          <w:szCs w:val="32"/>
        </w:rPr>
        <w:t>行动</w:t>
      </w:r>
      <w:r>
        <w:rPr>
          <w:rStyle w:val="20"/>
          <w:rFonts w:hint="default" w:ascii="Times New Roman" w:hAnsi="Times New Roman" w:cs="Times New Roman"/>
          <w:b w:val="0"/>
          <w:bCs w:val="0"/>
          <w:color w:val="000000"/>
          <w:sz w:val="32"/>
          <w:szCs w:val="32"/>
        </w:rPr>
        <w:t>，建立</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巨商回归</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智慧数据库，整合人才资源，动态收录企业家、科研专家等乡贤信息，实现精准匹配与定向联络。打造</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乡情联络</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品牌活动矩阵，以年度</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巨商回归恳谈会</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为主平台，强化情感纽带与家乡认同。设立乡贤服务专窗实行代办专员一对一服务，建立</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签约—落地—投产—达效</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四阶段台账管理，确保项目高效转化。</w:t>
      </w:r>
    </w:p>
    <w:p w14:paraId="24AB52AD">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b w:val="0"/>
          <w:bCs w:val="0"/>
          <w:color w:val="000000"/>
          <w:sz w:val="32"/>
          <w:szCs w:val="32"/>
        </w:rPr>
      </w:pPr>
      <w:r>
        <w:rPr>
          <w:rStyle w:val="20"/>
          <w:rFonts w:hint="default" w:ascii="Times New Roman" w:hAnsi="Times New Roman" w:cs="Times New Roman"/>
          <w:bCs w:val="0"/>
          <w:color w:val="000000"/>
          <w:sz w:val="32"/>
          <w:szCs w:val="32"/>
        </w:rPr>
        <w:t>2.构建产业链精准招商体系</w:t>
      </w:r>
      <w:r>
        <w:rPr>
          <w:rStyle w:val="20"/>
          <w:rFonts w:hint="default" w:ascii="Times New Roman" w:hAnsi="Times New Roman" w:cs="Times New Roman"/>
          <w:b w:val="0"/>
          <w:bCs w:val="0"/>
          <w:color w:val="000000"/>
          <w:sz w:val="32"/>
          <w:szCs w:val="32"/>
        </w:rPr>
        <w:t>，推行多元化招商路径，深化借展招商机制，深度参与中国国际装备博览会等国家级展会。围绕新能源、高端装备关键零部件等特色优势产业实施靶向攻坚。聚焦储能设备制造等关键环节，重点对接行业头部企业引进电池片生产和组件封装等补链项目。以液压传动系统、环保装备等高端装备关键零部件领域为突破口，重点引进精密加工与铸造、表面处理、检测与试验设备等提升产业链韧性和附加值的关键配套项目，推动产业链上下游协同与关键环节本地化配套。深化金银花全产业链开发，瞄准药用提取物、功能性食品等精深加工环节，重点对接以岭药业、神威药业、午时药业等知名药企建设GAP、GMP基地，引入金银花颗粒、金银花露等深加工项目，推动金银花产业价值链向消费端延伸。</w:t>
      </w:r>
    </w:p>
    <w:p w14:paraId="4DDAA6A8">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bCs w:val="0"/>
          <w:color w:val="000000"/>
          <w:sz w:val="32"/>
          <w:szCs w:val="32"/>
        </w:rPr>
      </w:pPr>
      <w:r>
        <w:rPr>
          <w:rStyle w:val="20"/>
          <w:rFonts w:hint="default" w:ascii="Times New Roman" w:hAnsi="Times New Roman" w:cs="Times New Roman"/>
          <w:bCs w:val="0"/>
          <w:color w:val="000000"/>
          <w:sz w:val="32"/>
          <w:szCs w:val="32"/>
        </w:rPr>
        <w:t>二、优化政府投资结构</w:t>
      </w:r>
    </w:p>
    <w:p w14:paraId="37C23467">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b w:val="0"/>
          <w:bCs w:val="0"/>
          <w:color w:val="000000"/>
          <w:sz w:val="32"/>
          <w:szCs w:val="32"/>
        </w:rPr>
      </w:pPr>
      <w:r>
        <w:rPr>
          <w:rStyle w:val="20"/>
          <w:rFonts w:hint="default" w:ascii="Times New Roman" w:hAnsi="Times New Roman" w:cs="Times New Roman"/>
          <w:b w:val="0"/>
          <w:bCs w:val="0"/>
          <w:color w:val="000000"/>
          <w:sz w:val="32"/>
          <w:szCs w:val="32"/>
        </w:rPr>
        <w:t>强化民生导向，补足市政工程、农业农村、公共安全、生态环保、公共卫生、物资储备、防灾减灾、人民防空、民生保障、文化体育等领域短板。实施老旧燃气管网设施更新改造、燃气安全运行监测能力提升改造更新、县城排水设施提升改造等基础设施工程。重点推进巨鹿县第三中学、第四中学、区域养老服务中心、乡镇卫生院医养服务能力提升、医疗卫生强基工程等公共服务项目建设。用足用好国家</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两重</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政策，全力争取超长期特别国债、中央预算内投资和地方政府专项债券资金，储备实施一批支撑长远发展的大项目好项目。</w:t>
      </w:r>
    </w:p>
    <w:p w14:paraId="531DF48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bCs w:val="0"/>
          <w:color w:val="000000"/>
          <w:sz w:val="32"/>
          <w:szCs w:val="32"/>
        </w:rPr>
      </w:pPr>
      <w:r>
        <w:rPr>
          <w:rStyle w:val="20"/>
          <w:rFonts w:hint="default" w:ascii="Times New Roman" w:hAnsi="Times New Roman" w:cs="Times New Roman"/>
          <w:bCs w:val="0"/>
          <w:color w:val="000000"/>
          <w:sz w:val="32"/>
          <w:szCs w:val="32"/>
        </w:rPr>
        <w:t>三、完善投资体制机制</w:t>
      </w:r>
    </w:p>
    <w:p w14:paraId="6BA9FB6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b w:val="0"/>
          <w:bCs w:val="0"/>
          <w:color w:val="000000"/>
          <w:sz w:val="32"/>
          <w:szCs w:val="32"/>
        </w:rPr>
      </w:pPr>
      <w:r>
        <w:rPr>
          <w:rStyle w:val="20"/>
          <w:rFonts w:hint="default" w:ascii="Times New Roman" w:hAnsi="Times New Roman" w:cs="Times New Roman"/>
          <w:b w:val="0"/>
          <w:bCs w:val="0"/>
          <w:color w:val="000000"/>
          <w:sz w:val="32"/>
          <w:szCs w:val="32"/>
        </w:rPr>
        <w:t>加强重大项目的谋划论证，建立项目储备库，实行</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分级分类、动态管理</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，依据项目投资规模、产业属性与社会效益明确推进责任与目标。健全项目梯次推进机制，形成在建一批、投产一批、储备一批、谋划一批的梯次滚动发展格局。强化</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三张清单</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制度推行，严格把控项目准入标准，重点引进符合主导产业方向、环境友好、效益显著的项目。健全政府和社会资本合作机制，支持民间投资参与城建、能源等县域重大项目建设。通过股权转让、委托运营及经营性项目组合开发等多元化运作方式，赋予其与政府投资项目同等的政策待遇，全面激发全社会投资活力。</w:t>
      </w:r>
    </w:p>
    <w:p w14:paraId="0083529A">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bCs w:val="0"/>
          <w:color w:val="000000"/>
          <w:sz w:val="32"/>
          <w:szCs w:val="32"/>
        </w:rPr>
      </w:pPr>
      <w:r>
        <w:rPr>
          <w:rStyle w:val="20"/>
          <w:rFonts w:hint="default" w:ascii="Times New Roman" w:hAnsi="Times New Roman" w:cs="Times New Roman"/>
          <w:bCs w:val="0"/>
          <w:color w:val="000000"/>
          <w:sz w:val="32"/>
          <w:szCs w:val="32"/>
        </w:rPr>
        <w:t>四、推行重点项目全流程服务管理</w:t>
      </w:r>
    </w:p>
    <w:p w14:paraId="74F725E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textAlignment w:val="auto"/>
        <w:rPr>
          <w:rStyle w:val="20"/>
          <w:rFonts w:hint="default" w:ascii="Times New Roman" w:hAnsi="Times New Roman" w:cs="Times New Roman"/>
          <w:color w:val="000000"/>
        </w:rPr>
      </w:pPr>
      <w:r>
        <w:rPr>
          <w:rStyle w:val="20"/>
          <w:rFonts w:hint="default" w:ascii="Times New Roman" w:hAnsi="Times New Roman" w:cs="Times New Roman"/>
          <w:b w:val="0"/>
          <w:bCs w:val="0"/>
          <w:color w:val="000000"/>
          <w:sz w:val="32"/>
          <w:szCs w:val="32"/>
        </w:rPr>
        <w:t>深化项目推进现场办公机制，协调解决项目推进过程中存在的土地供应、资金保障、前期手续办理等瓶颈。对经济开发区与周边区域连片整体规划，推行</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地等项目</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机制，力争实现拿地即开工。强化资金要素保障，常态化开展政银企对接活动。设立项目审批绿色通道，推行并联审批、容缺受理模式，压缩审批时限。统筹调配能耗、环境容量等关键指标资源，优先保障重大项目需求，确保项目顺利实施。对跨部门、跨领域的复杂问题，明确责任单位和解决时限，确保问题</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件件有回音、事事有着落</w:t>
      </w:r>
      <w:r>
        <w:rPr>
          <w:rStyle w:val="20"/>
          <w:rFonts w:hint="eastAsia" w:ascii="Times New Roman" w:hAnsi="Times New Roman" w:eastAsia="仿宋_GB2312" w:cs="Times New Roman"/>
          <w:b w:val="0"/>
          <w:bCs w:val="0"/>
          <w:color w:val="000000"/>
          <w:sz w:val="32"/>
          <w:szCs w:val="32"/>
          <w:lang w:eastAsia="zh-CN"/>
        </w:rPr>
        <w:t>”</w:t>
      </w:r>
      <w:r>
        <w:rPr>
          <w:rStyle w:val="20"/>
          <w:rFonts w:hint="default" w:ascii="Times New Roman" w:hAnsi="Times New Roman" w:cs="Times New Roman"/>
          <w:b w:val="0"/>
          <w:bCs w:val="0"/>
          <w:color w:val="000000"/>
          <w:sz w:val="32"/>
          <w:szCs w:val="32"/>
        </w:rPr>
        <w:t>。加强对重大项目建设全过程的动态监测与效能督导，对工程进度等关键指标实行月度通报与预警管理。严格落实安全生产与质量管控责任，督促建设单位规范施工、安全施工，确保项目早建成、早投产、早达效。</w:t>
      </w:r>
    </w:p>
    <w:p w14:paraId="6799623F">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57" w:name="_Toc17501"/>
      <w:bookmarkStart w:id="58" w:name="_Toc7139"/>
      <w:r>
        <w:rPr>
          <w:rFonts w:hint="default" w:ascii="Times New Roman" w:hAnsi="Times New Roman" w:eastAsia="楷体" w:cs="Times New Roman"/>
          <w:b/>
          <w:color w:val="000000"/>
          <w:sz w:val="32"/>
          <w:szCs w:val="28"/>
        </w:rPr>
        <w:t>第三节 推动基础设施提升</w:t>
      </w:r>
      <w:bookmarkEnd w:id="57"/>
      <w:bookmarkEnd w:id="58"/>
    </w:p>
    <w:p w14:paraId="26CC18A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一、实施重大交通工程</w:t>
      </w:r>
    </w:p>
    <w:p w14:paraId="419AC7EF">
      <w:pPr>
        <w:keepNext w:val="0"/>
        <w:keepLines w:val="0"/>
        <w:pageBreakBefore w:val="0"/>
        <w:widowControl w:val="0"/>
        <w:tabs>
          <w:tab w:val="left" w:pos="7140"/>
        </w:tabs>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32"/>
          <w:szCs w:val="32"/>
        </w:rPr>
        <w:t>加快推进京武高速南北纵贯线、国道G230工程、邢德线西段改线工程（小吕寨至邢台市段）、省道S338建设工程（一行大道北移）等重大交通项目，规划建设城乡客运中心、快递仓储分拣配送中心、交通运输综合智慧平台、客货邮综合运输中心等枢纽工程，提升城市通达能力。</w:t>
      </w:r>
      <w:r>
        <w:rPr>
          <w:rFonts w:hint="default" w:ascii="Times New Roman" w:hAnsi="Times New Roman" w:eastAsia="仿宋_GB2312" w:cs="Times New Roman"/>
          <w:color w:val="000000"/>
          <w:kern w:val="0"/>
          <w:sz w:val="31"/>
          <w:szCs w:val="31"/>
          <w:lang w:bidi="ar"/>
        </w:rPr>
        <w:t>至</w:t>
      </w:r>
      <w:r>
        <w:rPr>
          <w:rFonts w:hint="eastAsia" w:ascii="Times New Roman" w:hAnsi="Times New Roman" w:eastAsia="仿宋_GB2312" w:cs="Times New Roman"/>
          <w:color w:val="000000"/>
          <w:kern w:val="0"/>
          <w:sz w:val="31"/>
          <w:szCs w:val="31"/>
          <w:lang w:eastAsia="zh-CN" w:bidi="ar"/>
        </w:rPr>
        <w:t>“</w:t>
      </w:r>
      <w:r>
        <w:rPr>
          <w:rFonts w:hint="default" w:ascii="Times New Roman" w:hAnsi="Times New Roman" w:eastAsia="仿宋_GB2312" w:cs="Times New Roman"/>
          <w:color w:val="000000"/>
          <w:kern w:val="0"/>
          <w:sz w:val="31"/>
          <w:szCs w:val="31"/>
          <w:lang w:bidi="ar"/>
        </w:rPr>
        <w:t>十五五</w:t>
      </w:r>
      <w:r>
        <w:rPr>
          <w:rFonts w:hint="eastAsia" w:ascii="Times New Roman" w:hAnsi="Times New Roman" w:eastAsia="仿宋_GB2312" w:cs="Times New Roman"/>
          <w:color w:val="000000"/>
          <w:kern w:val="0"/>
          <w:sz w:val="31"/>
          <w:szCs w:val="31"/>
          <w:lang w:eastAsia="zh-CN" w:bidi="ar"/>
        </w:rPr>
        <w:t>”</w:t>
      </w:r>
      <w:r>
        <w:rPr>
          <w:rFonts w:hint="default" w:ascii="Times New Roman" w:hAnsi="Times New Roman" w:eastAsia="仿宋_GB2312" w:cs="Times New Roman"/>
          <w:color w:val="000000"/>
          <w:kern w:val="0"/>
          <w:sz w:val="31"/>
          <w:szCs w:val="31"/>
          <w:lang w:bidi="ar"/>
        </w:rPr>
        <w:t>末，全面建成</w:t>
      </w:r>
      <w:r>
        <w:rPr>
          <w:rFonts w:hint="eastAsia" w:ascii="Times New Roman" w:hAnsi="Times New Roman" w:eastAsia="仿宋_GB2312" w:cs="Times New Roman"/>
          <w:color w:val="000000"/>
          <w:kern w:val="0"/>
          <w:sz w:val="31"/>
          <w:szCs w:val="31"/>
          <w:lang w:eastAsia="zh-CN" w:bidi="ar"/>
        </w:rPr>
        <w:t>“</w:t>
      </w:r>
      <w:r>
        <w:rPr>
          <w:rFonts w:hint="default" w:ascii="Times New Roman" w:hAnsi="Times New Roman" w:eastAsia="仿宋_GB2312" w:cs="Times New Roman"/>
          <w:color w:val="000000"/>
          <w:kern w:val="0"/>
          <w:sz w:val="31"/>
          <w:szCs w:val="31"/>
          <w:lang w:bidi="ar"/>
        </w:rPr>
        <w:t>高速贯通、干线提质、县道升级、村道达标</w:t>
      </w:r>
      <w:r>
        <w:rPr>
          <w:rFonts w:hint="eastAsia" w:ascii="Times New Roman" w:hAnsi="Times New Roman" w:eastAsia="仿宋_GB2312" w:cs="Times New Roman"/>
          <w:color w:val="000000"/>
          <w:kern w:val="0"/>
          <w:sz w:val="31"/>
          <w:szCs w:val="31"/>
          <w:lang w:eastAsia="zh-CN" w:bidi="ar"/>
        </w:rPr>
        <w:t>”</w:t>
      </w:r>
      <w:r>
        <w:rPr>
          <w:rFonts w:hint="default" w:ascii="Times New Roman" w:hAnsi="Times New Roman" w:eastAsia="仿宋_GB2312" w:cs="Times New Roman"/>
          <w:color w:val="000000"/>
          <w:kern w:val="0"/>
          <w:sz w:val="31"/>
          <w:szCs w:val="31"/>
          <w:lang w:bidi="ar"/>
        </w:rPr>
        <w:t>的四级公路网络，强化与周边县域经济联动，满足群众便捷安全出行需求，有效降低物流成本，实现</w:t>
      </w:r>
      <w:r>
        <w:rPr>
          <w:rFonts w:hint="eastAsia" w:ascii="Times New Roman" w:hAnsi="Times New Roman" w:eastAsia="仿宋_GB2312" w:cs="Times New Roman"/>
          <w:color w:val="000000"/>
          <w:kern w:val="0"/>
          <w:sz w:val="31"/>
          <w:szCs w:val="31"/>
          <w:lang w:eastAsia="zh-CN" w:bidi="ar"/>
        </w:rPr>
        <w:t>“</w:t>
      </w:r>
      <w:r>
        <w:rPr>
          <w:rFonts w:hint="default" w:ascii="Times New Roman" w:hAnsi="Times New Roman" w:eastAsia="仿宋_GB2312" w:cs="Times New Roman"/>
          <w:color w:val="000000"/>
          <w:kern w:val="0"/>
          <w:sz w:val="31"/>
          <w:szCs w:val="31"/>
          <w:lang w:bidi="ar"/>
        </w:rPr>
        <w:t>乡镇15分钟上干线、30分钟进县城、1小时出县进市、1.5小时进省、3小时入津京</w:t>
      </w:r>
      <w:r>
        <w:rPr>
          <w:rFonts w:hint="eastAsia" w:ascii="Times New Roman" w:hAnsi="Times New Roman" w:eastAsia="仿宋_GB2312" w:cs="Times New Roman"/>
          <w:color w:val="000000"/>
          <w:kern w:val="0"/>
          <w:sz w:val="31"/>
          <w:szCs w:val="31"/>
          <w:lang w:eastAsia="zh-CN" w:bidi="ar"/>
        </w:rPr>
        <w:t>”</w:t>
      </w:r>
      <w:r>
        <w:rPr>
          <w:rFonts w:hint="default" w:ascii="Times New Roman" w:hAnsi="Times New Roman" w:eastAsia="仿宋_GB2312" w:cs="Times New Roman"/>
          <w:color w:val="000000"/>
          <w:kern w:val="0"/>
          <w:sz w:val="31"/>
          <w:szCs w:val="31"/>
          <w:lang w:bidi="ar"/>
        </w:rPr>
        <w:t>的交通出行格局，为乡村振兴、产业提质升级提供坚实交通支撑。</w:t>
      </w:r>
    </w:p>
    <w:p w14:paraId="2C33AF4D">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二、增强电力能源保障</w:t>
      </w:r>
    </w:p>
    <w:p w14:paraId="373E6BE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期间，加大10千伏配网智能化改造水平，配网线路首杆故障指示器100%全覆盖，所有10千伏线路达到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2分段+大分支+大容量用户分界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配自开关全覆盖。配网线路有效联络自愈率达到80%，实现故障情况下有效自动转供。加快建设巨鹿城南、荣北、堤村和吉陈等4个变电站，提升县域电网坚强水平和新能源消纳能力，做好高空作业、高压试验等风险防控，保障供电安全。科学布局新型储能设施、新能源充电配套设施，提高供电可靠性和智能化水平，满足新能源汽车、数字经济发展等新增用电需求。完善定魏线、南郝线、邢德线、高速连接线等干线充电桩、加气站等能源设施布局，建设一批集加油、加气、充电、加氢等为一体的综合能源站。优化供热结构，推进城区及有条件乡镇进行分布式清洁取暖改造和集中供热管网延伸。</w:t>
      </w:r>
    </w:p>
    <w:p w14:paraId="52774BD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三、加强水利基础设施建设</w:t>
      </w:r>
    </w:p>
    <w:p w14:paraId="322D8BB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w:t>
      </w:r>
      <w:r>
        <w:rPr>
          <w:rFonts w:hint="default" w:ascii="Times New Roman" w:hAnsi="Times New Roman" w:eastAsia="仿宋_GB2312" w:cs="Times New Roman"/>
          <w:b/>
          <w:color w:val="000000"/>
          <w:sz w:val="32"/>
          <w:szCs w:val="32"/>
        </w:rPr>
        <w:t>实施县域沟渠系统综合治理与功能提升，</w:t>
      </w:r>
      <w:r>
        <w:rPr>
          <w:rFonts w:hint="default" w:ascii="Times New Roman" w:hAnsi="Times New Roman" w:eastAsia="仿宋_GB2312" w:cs="Times New Roman"/>
          <w:color w:val="000000"/>
          <w:sz w:val="32"/>
          <w:szCs w:val="32"/>
        </w:rPr>
        <w:t>对神仙渠、一支渠、苏口渠、宋庄渠等渠道进行清整局部边坡、岸坡防护，加修涵管8道。进一步加大县域内渠道的调蓄水功能，促进地表水资源的优化配置与高效利用，从而有效替代农业、生态等领域的部分地下水开采，助力地下水位稳步回升，改善区域水生态环境。</w:t>
      </w:r>
    </w:p>
    <w:p w14:paraId="1962E4D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2.大力实施水源联通工程，</w:t>
      </w:r>
      <w:r>
        <w:rPr>
          <w:rFonts w:hint="default" w:ascii="Times New Roman" w:hAnsi="Times New Roman" w:eastAsia="仿宋_GB2312" w:cs="Times New Roman"/>
          <w:color w:val="000000"/>
          <w:sz w:val="32"/>
          <w:szCs w:val="32"/>
        </w:rPr>
        <w:t>治理坑塘22座，通过扩挖、清淤、生态岸线修复等措施，增强其蓄水容量与水质维持能力；治理渠道8条，总长13.34公里，提升其输水效率；新建坑塘连接管道9.9公里，实现坑塘水系互联；加装坑塘防护网12.6公里，有效保障安全；配套建设水闸10座、排水泵站5座、涵管桥4座，形成灵活可控的调控节点，显著加强县域内坑塘群与渠道系统的水力联系与联合调度能力，进一步提升雨洪资源和外来引水的蓄存利用水平。</w:t>
      </w:r>
    </w:p>
    <w:p w14:paraId="5BCF299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3.推进安全能力提升，</w:t>
      </w:r>
      <w:r>
        <w:rPr>
          <w:rFonts w:hint="default" w:ascii="Times New Roman" w:hAnsi="Times New Roman" w:eastAsia="仿宋_GB2312" w:cs="Times New Roman"/>
          <w:color w:val="000000"/>
          <w:sz w:val="32"/>
          <w:szCs w:val="32"/>
        </w:rPr>
        <w:t>加快蓄滞洪区防洪工程与安全建设，对滞洪区内小漳河右堤、东围堤、安全区围堤及安全区围堤桥道口工程进行提标建设，将巨鹿县安全区的防洪保护标准由现状的50年一遇显著提升至能防御63.8洪水标准。工程完工后，可确保滞洪区在面临大洪水时能够安全、有序、有效启用，同时使巨鹿县县城整体退出滞洪区范围，从根本上保障县城防洪安全。</w:t>
      </w:r>
    </w:p>
    <w:p w14:paraId="18F9105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四、推进新型基础设施建设</w:t>
      </w:r>
    </w:p>
    <w:p w14:paraId="046148A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推动5G网络从广覆盖向高质量应用转变，加快千兆光网城乡普及，实施基础设施智能化改造工程，推进智慧电网、智慧水利、智慧城管、智能交通和数字环保监测体系建设。深化数字技术在公共服务与社会治理领域的应用，搭建全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城市大脑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运营平台，拓展智慧教育、远程医疗、数字政务等便民服务，打造具有巨鹿特色的数字化治理与生活服务体系，赋能县域经济社会高质量发展。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7"/>
      </w:tblGrid>
      <w:tr w14:paraId="4EB2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7" w:hRule="atLeast"/>
          <w:jc w:val="center"/>
        </w:trPr>
        <w:tc>
          <w:tcPr>
            <w:tcW w:w="8737" w:type="dxa"/>
            <w:noWrap w:val="0"/>
            <w:vAlign w:val="center"/>
          </w:tcPr>
          <w:p w14:paraId="4FF2D768">
            <w:pPr>
              <w:spacing w:line="600" w:lineRule="exact"/>
              <w:jc w:val="center"/>
              <w:rPr>
                <w:rFonts w:hint="default" w:ascii="Times New Roman" w:hAnsi="Times New Roman" w:eastAsia="楷体" w:cs="Times New Roman"/>
                <w:color w:val="000000"/>
                <w:sz w:val="28"/>
                <w:szCs w:val="28"/>
              </w:rPr>
            </w:pPr>
            <w:bookmarkStart w:id="59" w:name="OLE_LINK3"/>
            <w:r>
              <w:rPr>
                <w:rFonts w:hint="default" w:ascii="Times New Roman" w:hAnsi="Times New Roman" w:eastAsia="楷体" w:cs="Times New Roman"/>
                <w:b/>
                <w:bCs/>
                <w:color w:val="000000"/>
                <w:sz w:val="28"/>
                <w:szCs w:val="28"/>
              </w:rPr>
              <w:t>专栏5-2  交通基础设施重点项目</w:t>
            </w:r>
          </w:p>
        </w:tc>
      </w:tr>
      <w:tr w14:paraId="6065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9" w:hRule="atLeast"/>
          <w:jc w:val="center"/>
        </w:trPr>
        <w:tc>
          <w:tcPr>
            <w:tcW w:w="8737" w:type="dxa"/>
            <w:noWrap w:val="0"/>
            <w:vAlign w:val="center"/>
          </w:tcPr>
          <w:p w14:paraId="01E6BCFA">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1.高速公路项目：京武高速公路（巨鹿段）</w:t>
            </w:r>
          </w:p>
          <w:p w14:paraId="767DCCBE">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2.国道公路项目：通武公路 G230（巨鹿段）</w:t>
            </w:r>
          </w:p>
          <w:p w14:paraId="713FB8FD">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3.省道公路项目：省道 S338 巨鹿绕城段改建工程（一行大道北移）、省道 S338 邢德线改西段（小吕寨至邢台市段）</w:t>
            </w:r>
          </w:p>
          <w:p w14:paraId="0D454BDB">
            <w:pPr>
              <w:keepNext w:val="0"/>
              <w:keepLines w:val="0"/>
              <w:pageBreakBefore w:val="0"/>
              <w:widowControl w:val="0"/>
              <w:kinsoku/>
              <w:wordWrap/>
              <w:topLinePunct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4.县道公路项目：县道西平线（西郭城镇至平乡县）、县道观吕线、县道西南线（广宗西召屯至巨鹿县南原庄）</w:t>
            </w:r>
          </w:p>
          <w:p w14:paraId="4AA3277D">
            <w:pPr>
              <w:keepNext w:val="0"/>
              <w:keepLines w:val="0"/>
              <w:pageBreakBefore w:val="0"/>
              <w:widowControl w:val="0"/>
              <w:kinsoku/>
              <w:wordWrap/>
              <w:topLinePunct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5.邢德线至巨鹿火车站专用道路工程</w:t>
            </w:r>
          </w:p>
          <w:p w14:paraId="30EA4B55">
            <w:pPr>
              <w:keepNext w:val="0"/>
              <w:keepLines w:val="0"/>
              <w:pageBreakBefore w:val="0"/>
              <w:widowControl w:val="0"/>
              <w:kinsoku/>
              <w:wordWrap/>
              <w:topLinePunct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6.西平街北延建设项目</w:t>
            </w:r>
          </w:p>
        </w:tc>
      </w:tr>
      <w:bookmarkEnd w:id="59"/>
      <w:tr w14:paraId="1B95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737" w:type="dxa"/>
            <w:noWrap w:val="0"/>
            <w:vAlign w:val="center"/>
          </w:tcPr>
          <w:p w14:paraId="249D2B1B">
            <w:pPr>
              <w:spacing w:line="600" w:lineRule="exact"/>
              <w:jc w:val="center"/>
              <w:rPr>
                <w:rFonts w:hint="default" w:ascii="Times New Roman" w:hAnsi="Times New Roman" w:eastAsia="楷体" w:cs="Times New Roman"/>
                <w:color w:val="000000"/>
                <w:sz w:val="28"/>
                <w:szCs w:val="28"/>
              </w:rPr>
            </w:pPr>
            <w:r>
              <w:rPr>
                <w:rFonts w:hint="default" w:ascii="Times New Roman" w:hAnsi="Times New Roman" w:eastAsia="楷体" w:cs="Times New Roman"/>
                <w:b/>
                <w:bCs/>
                <w:color w:val="000000"/>
                <w:sz w:val="28"/>
                <w:szCs w:val="28"/>
              </w:rPr>
              <w:t>专栏5-3 水利基础设施重点项目</w:t>
            </w:r>
          </w:p>
        </w:tc>
      </w:tr>
      <w:tr w14:paraId="0339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1" w:hRule="atLeast"/>
          <w:jc w:val="center"/>
        </w:trPr>
        <w:tc>
          <w:tcPr>
            <w:tcW w:w="8737" w:type="dxa"/>
            <w:noWrap w:val="0"/>
            <w:vAlign w:val="center"/>
          </w:tcPr>
          <w:p w14:paraId="0AD696BA">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w:t>
            </w:r>
            <w:r>
              <w:rPr>
                <w:rFonts w:hint="default" w:ascii="Times New Roman" w:hAnsi="Times New Roman" w:eastAsia="仿宋" w:cs="Times New Roman"/>
                <w:color w:val="000000"/>
                <w:sz w:val="24"/>
                <w:szCs w:val="24"/>
                <w:shd w:val="clear" w:color="auto" w:fill="FFFFFF"/>
              </w:rPr>
              <w:t>蓄滞洪区防洪与安全建设工程</w:t>
            </w:r>
          </w:p>
          <w:p w14:paraId="5A2ABB40">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2.</w:t>
            </w:r>
            <w:r>
              <w:rPr>
                <w:rFonts w:hint="default" w:ascii="Times New Roman" w:hAnsi="Times New Roman" w:eastAsia="仿宋" w:cs="Times New Roman"/>
                <w:color w:val="000000"/>
                <w:sz w:val="24"/>
                <w:szCs w:val="24"/>
                <w:shd w:val="clear" w:color="auto" w:fill="FFFFFF"/>
              </w:rPr>
              <w:t>县城供水升级改造项目</w:t>
            </w:r>
          </w:p>
          <w:p w14:paraId="78F8DC43">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3.</w:t>
            </w:r>
            <w:r>
              <w:rPr>
                <w:rFonts w:hint="default" w:ascii="Times New Roman" w:hAnsi="Times New Roman" w:eastAsia="仿宋" w:cs="Times New Roman"/>
                <w:color w:val="000000"/>
                <w:sz w:val="24"/>
                <w:szCs w:val="24"/>
                <w:shd w:val="clear" w:color="auto" w:fill="FFFFFF"/>
              </w:rPr>
              <w:t>神仙渠、一支渠、苏口渠、宋庄渠等渠道清整局部边坡、岸坡防护与加修涵管工程</w:t>
            </w:r>
          </w:p>
          <w:p w14:paraId="24C348DF">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4.</w:t>
            </w:r>
            <w:r>
              <w:rPr>
                <w:rFonts w:hint="default" w:ascii="Times New Roman" w:hAnsi="Times New Roman" w:eastAsia="仿宋" w:cs="Times New Roman"/>
                <w:color w:val="000000"/>
                <w:sz w:val="24"/>
                <w:szCs w:val="24"/>
                <w:shd w:val="clear" w:color="auto" w:fill="FFFFFF"/>
              </w:rPr>
              <w:t>水源联通工程</w:t>
            </w:r>
          </w:p>
          <w:p w14:paraId="187C33CF">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5.</w:t>
            </w:r>
            <w:r>
              <w:rPr>
                <w:rFonts w:hint="default" w:ascii="Times New Roman" w:hAnsi="Times New Roman" w:eastAsia="仿宋" w:cs="Times New Roman"/>
                <w:color w:val="000000"/>
                <w:sz w:val="24"/>
                <w:szCs w:val="24"/>
                <w:shd w:val="clear" w:color="auto" w:fill="FFFFFF"/>
              </w:rPr>
              <w:t>数字孪生水网建设工程</w:t>
            </w:r>
          </w:p>
        </w:tc>
      </w:tr>
    </w:tbl>
    <w:p w14:paraId="51F613FF">
      <w:pPr>
        <w:adjustRightInd w:val="0"/>
        <w:snapToGrid w:val="0"/>
        <w:spacing w:line="600" w:lineRule="exact"/>
        <w:rPr>
          <w:rFonts w:hint="default" w:ascii="Times New Roman" w:hAnsi="Times New Roman" w:eastAsia="仿宋_GB2312" w:cs="Times New Roman"/>
          <w:color w:val="000000"/>
          <w:sz w:val="32"/>
          <w:szCs w:val="32"/>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7"/>
      </w:tblGrid>
      <w:tr w14:paraId="03D1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8757" w:type="dxa"/>
            <w:noWrap w:val="0"/>
            <w:vAlign w:val="center"/>
          </w:tcPr>
          <w:p w14:paraId="1B57E11F">
            <w:pPr>
              <w:spacing w:line="600" w:lineRule="exact"/>
              <w:jc w:val="center"/>
              <w:rPr>
                <w:rFonts w:hint="default" w:ascii="Times New Roman" w:hAnsi="Times New Roman" w:eastAsia="楷体" w:cs="Times New Roman"/>
                <w:color w:val="000000"/>
                <w:sz w:val="28"/>
                <w:szCs w:val="28"/>
              </w:rPr>
            </w:pPr>
            <w:r>
              <w:rPr>
                <w:rFonts w:hint="default" w:ascii="Times New Roman" w:hAnsi="Times New Roman" w:eastAsia="楷体" w:cs="Times New Roman"/>
                <w:b/>
                <w:bCs/>
                <w:color w:val="000000"/>
                <w:sz w:val="28"/>
                <w:szCs w:val="28"/>
              </w:rPr>
              <w:t>专栏5-4 电力能源基础设施重点项目</w:t>
            </w:r>
          </w:p>
        </w:tc>
      </w:tr>
      <w:tr w14:paraId="1584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757" w:type="dxa"/>
            <w:noWrap w:val="0"/>
            <w:vAlign w:val="center"/>
          </w:tcPr>
          <w:p w14:paraId="2F4EA983">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1.卡邦重卡充电站</w:t>
            </w:r>
          </w:p>
          <w:p w14:paraId="2CEBCE87">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2.安平重卡充电站</w:t>
            </w:r>
          </w:p>
          <w:p w14:paraId="4C9161F1">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3.巨擎重卡充电站</w:t>
            </w:r>
          </w:p>
          <w:p w14:paraId="513CC431">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4.巨鹿县祥路重卡充电站</w:t>
            </w:r>
          </w:p>
          <w:p w14:paraId="2D72B6F8">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5.冠晔路桥重卡充电站</w:t>
            </w:r>
          </w:p>
          <w:p w14:paraId="61BF3749">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6.安顺物流重卡充电站</w:t>
            </w:r>
          </w:p>
          <w:p w14:paraId="67843304">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7.巨鹿县堤村10万千瓦/40万千瓦时混合型独立储能电站项目</w:t>
            </w:r>
          </w:p>
          <w:p w14:paraId="1F23EE11">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8.巨鹿15万千瓦/60万千瓦时独立储能电站项目</w:t>
            </w:r>
          </w:p>
          <w:p w14:paraId="36685F1B">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9.10千伏配网智能化改造项目</w:t>
            </w:r>
          </w:p>
          <w:p w14:paraId="6FE7C186">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10.城乡配电网巩固提升工程</w:t>
            </w:r>
          </w:p>
          <w:p w14:paraId="3A0F5453">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11.巨鹿荣北110千伏输变电工程</w:t>
            </w:r>
          </w:p>
          <w:p w14:paraId="4DAADC91">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12.巨鹿城南110千伏输变电工程</w:t>
            </w:r>
          </w:p>
          <w:p w14:paraId="69C31588">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13.邢台堤村500千伏输变电工程</w:t>
            </w:r>
          </w:p>
          <w:p w14:paraId="14B18B05">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14.巨鹿吉陈（巨鹿东）220千伏输变电工程</w:t>
            </w:r>
          </w:p>
          <w:p w14:paraId="2B7DFF8D">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15.精睿新能源巨鹿10万千瓦风电项目</w:t>
            </w:r>
          </w:p>
          <w:p w14:paraId="3E6EA2C7">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16.先睿新能源巨鹿10万千瓦风电项目</w:t>
            </w:r>
          </w:p>
          <w:p w14:paraId="6C10BE8C">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17.定魏线、南郝线、邢德线、高速连接线等重要干线LNG加注站项目</w:t>
            </w:r>
          </w:p>
          <w:p w14:paraId="272170A6">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rPr>
              <w:t>18.巨鹿县综合能源站项目</w:t>
            </w:r>
          </w:p>
          <w:p w14:paraId="6238AFB0">
            <w:pPr>
              <w:keepNext w:val="0"/>
              <w:keepLines w:val="0"/>
              <w:pageBreakBefore w:val="0"/>
              <w:widowControl w:val="0"/>
              <w:kinsoku/>
              <w:wordWrap/>
              <w:overflowPunct w:val="0"/>
              <w:topLinePunct w:val="0"/>
              <w:autoSpaceDE w:val="0"/>
              <w:autoSpaceDN w:val="0"/>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19.液化石油气储配（供应）站扩建项目</w:t>
            </w:r>
          </w:p>
        </w:tc>
      </w:tr>
    </w:tbl>
    <w:p w14:paraId="30B3AABA">
      <w:pPr>
        <w:adjustRightInd w:val="0"/>
        <w:snapToGrid w:val="0"/>
        <w:spacing w:line="600" w:lineRule="exact"/>
        <w:rPr>
          <w:rFonts w:hint="default" w:ascii="Times New Roman" w:hAnsi="Times New Roman" w:eastAsia="仿宋_GB2312" w:cs="Times New Roman"/>
          <w:color w:val="000000"/>
          <w:sz w:val="32"/>
          <w:szCs w:val="32"/>
        </w:rPr>
      </w:pPr>
    </w:p>
    <w:p w14:paraId="454B354F">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32"/>
        </w:rPr>
      </w:pPr>
      <w:bookmarkStart w:id="60" w:name="_Toc29777"/>
      <w:bookmarkStart w:id="61" w:name="_Toc5556"/>
      <w:r>
        <w:rPr>
          <w:rFonts w:hint="default" w:ascii="Times New Roman" w:hAnsi="Times New Roman" w:eastAsia="黑体" w:cs="Times New Roman"/>
          <w:bCs/>
          <w:color w:val="000000"/>
          <w:sz w:val="32"/>
          <w:szCs w:val="28"/>
        </w:rPr>
        <w:br w:type="page"/>
      </w:r>
      <w:r>
        <w:rPr>
          <w:rFonts w:hint="default" w:ascii="Times New Roman" w:hAnsi="Times New Roman" w:eastAsia="黑体" w:cs="Times New Roman"/>
          <w:bCs/>
          <w:color w:val="000000"/>
          <w:sz w:val="32"/>
          <w:szCs w:val="28"/>
        </w:rPr>
        <w:t>第六章</w:t>
      </w:r>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深化经济领域改革，打造优质营商环境</w:t>
      </w:r>
      <w:bookmarkEnd w:id="60"/>
      <w:bookmarkEnd w:id="61"/>
    </w:p>
    <w:p w14:paraId="461B295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进一步全面深化改革，深入实施市场、政务、要素、法治、信用环境提升工程，持续优化营商环境，激发高质量发展的动力和活力。</w:t>
      </w:r>
    </w:p>
    <w:p w14:paraId="3333B818">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62" w:name="_Toc11550"/>
      <w:bookmarkStart w:id="63" w:name="_Toc31922"/>
      <w:r>
        <w:rPr>
          <w:rFonts w:hint="default" w:ascii="Times New Roman" w:hAnsi="Times New Roman" w:eastAsia="楷体" w:cs="Times New Roman"/>
          <w:b/>
          <w:color w:val="000000"/>
          <w:sz w:val="32"/>
          <w:szCs w:val="28"/>
        </w:rPr>
        <w:t>第一节 深化重点领域改革</w:t>
      </w:r>
      <w:bookmarkEnd w:id="62"/>
      <w:bookmarkEnd w:id="63"/>
    </w:p>
    <w:p w14:paraId="750F3F9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一、深化预算改革。</w:t>
      </w:r>
      <w:r>
        <w:rPr>
          <w:rFonts w:hint="default" w:ascii="Times New Roman" w:hAnsi="Times New Roman" w:eastAsia="仿宋_GB2312" w:cs="Times New Roman"/>
          <w:color w:val="000000"/>
          <w:sz w:val="32"/>
          <w:szCs w:val="32"/>
        </w:rPr>
        <w:t>严格贯彻省市财政改革部署，深化零基预算管理改革。强化跨周期财力统筹，将行政权力收益、政府信用融资、国有资产处置等所有政府性收入无遗漏纳入预算，实行全口径统一编制与调配。建立支出标准体系，打破基数依赖，依据项目优先级动态调整预算分配，实现精准对接，优先保障</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三保</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支出。强化部门协同，建立财政与发改、农业农村、生态环境等部门联动机制。同步构建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绩效—债务—监管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位一体管控机制，深度嵌入全周期绩效管理，在公共服务领域推行事前评估、事中监控、事后评价闭环，评价结果与下年度预算挂钩。筑牢债务风险防火墙，严控新增隐性债务，稳妥化解存量债务，制定分年度化债计划并纳入预算草案。强化数字赋能监督，上线预算执行动态监测平台，联动审计大数据系统，对异常支付实时预警。通过改革实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无预算不支出、低绩效必压减、高风险即熔断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的现代财政管理范式。</w:t>
      </w:r>
    </w:p>
    <w:p w14:paraId="0A04703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二、推进税制改革。</w:t>
      </w:r>
      <w:r>
        <w:rPr>
          <w:rFonts w:hint="default" w:ascii="Times New Roman" w:hAnsi="Times New Roman" w:eastAsia="仿宋_GB2312" w:cs="Times New Roman"/>
          <w:color w:val="000000"/>
          <w:sz w:val="32"/>
          <w:szCs w:val="32"/>
        </w:rPr>
        <w:t>推动税收政策精准适配发展需求，落实落细支持乡村振兴的税收优惠政策，对高标准农田建设、特色农产品加工、农村电商等符合税收优惠政策的项目落实相应惠企助农政策措施。完善非税收入征缴系统，优化征管模式，大力推广移动支付、网银转账、电子票据等非接触式缴款方式，实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以票管收、信息控收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。加快建立跨部门信息共享与比对机制，提升征管效率与规范性。</w:t>
      </w:r>
    </w:p>
    <w:p w14:paraId="5B5F110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三、深化土地要素市场化改革。</w:t>
      </w:r>
      <w:r>
        <w:rPr>
          <w:rFonts w:hint="default" w:ascii="Times New Roman" w:hAnsi="Times New Roman" w:eastAsia="仿宋_GB2312" w:cs="Times New Roman"/>
          <w:color w:val="000000"/>
          <w:sz w:val="32"/>
          <w:szCs w:val="32"/>
        </w:rPr>
        <w:t>落实国家关于要素市场化配置改革的各项举措，持续强化土地要素保障。积极推动增量扩张，大力争取用地指标，坚持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标准地+承诺制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出让模式，保障重点项目用地供给，提高土地利用效率。持续推动存量优化，探索建立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土地超市</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平台，对存量用地进行集中展示和交易，提升土地使用效益。同时，深化腾笼换鸟，引导铭鹿、善绿福、宏鑫等项目有序退出，开展二次招商，引入符合产业发展导向的优质项目。依托土地市场动态监测与监管系统，深化土地要素领域数字化转型，构建覆盖全域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土地智慧管理平台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，实现对土地管理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全生命期</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的可视化追踪与动态化管控，为土地要素高效配置和产业精准落地提供数字化支撑。</w:t>
      </w:r>
    </w:p>
    <w:p w14:paraId="57F3656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四、深化国企改革。</w:t>
      </w:r>
      <w:r>
        <w:rPr>
          <w:rFonts w:hint="default" w:ascii="Times New Roman" w:hAnsi="Times New Roman" w:eastAsia="仿宋_GB2312" w:cs="Times New Roman"/>
          <w:color w:val="000000"/>
          <w:sz w:val="32"/>
          <w:szCs w:val="32"/>
        </w:rPr>
        <w:t>完善巨腾集团公司治理体系，健全以董事会为核心、经理层执行为主体、监事会监督为保障的法人治理机制，规范决策运行机制、强化内控与风险管理，推动企业实现制度化、规范化运作，提升治理效能和抗风险能力。构建新型经营责任制，全面推行经理层成员任期制和契约化管理，实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一岗一责</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一年一考核</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，管理覆盖率达到100%；落实刚性考核兑现，明确业绩目标，考核结果与续聘直接挂钩；坚持以绩定薪，完善企业负责人经营业绩考核与薪酬管理办法，</w:t>
      </w:r>
      <w:r>
        <w:rPr>
          <w:rFonts w:hint="default" w:ascii="Times New Roman" w:hAnsi="Times New Roman" w:eastAsia="仿宋_GB2312" w:cs="Times New Roman"/>
          <w:color w:val="000000"/>
          <w:sz w:val="32"/>
          <w:szCs w:val="32"/>
          <w:lang w:bidi="ar"/>
        </w:rPr>
        <w:t>激发创新创效，</w:t>
      </w:r>
      <w:r>
        <w:rPr>
          <w:rFonts w:hint="default" w:ascii="Times New Roman" w:hAnsi="Times New Roman" w:eastAsia="仿宋_GB2312" w:cs="Times New Roman"/>
          <w:color w:val="000000"/>
          <w:sz w:val="32"/>
          <w:szCs w:val="32"/>
        </w:rPr>
        <w:t>增强发展动力。拓展巨腾集团业务板块构成，支持巨腾集团成为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城市运营+产业培育</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双轮驱动主体，并积极引导布局新能源装备等赛道，有力支持产业发展，带动企业增收，力争2030年总资产达到60亿元、营业收入达到3亿元，信用评级达到AA+。探索巨腾集团融资模式，深化融资结构多元化改革，拓展直接融资渠道，提升资产证券化水平。通过发行企业债券、中期票据及探索不动产投资信托基金等，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事前评估—事中监控—事后问责</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全流程风险防控机制，强化资产负债率预警和融资成本管控，保障国有企业资产安全。</w:t>
      </w:r>
    </w:p>
    <w:p w14:paraId="7646B242">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_GB2312" w:cs="Times New Roman"/>
          <w:b/>
          <w:color w:val="000000"/>
          <w:sz w:val="32"/>
          <w:szCs w:val="32"/>
        </w:rPr>
      </w:pPr>
      <w:bookmarkStart w:id="64" w:name="_Toc18712"/>
      <w:bookmarkStart w:id="65" w:name="_Toc21994"/>
      <w:r>
        <w:rPr>
          <w:rFonts w:hint="default" w:ascii="Times New Roman" w:hAnsi="Times New Roman" w:eastAsia="楷体" w:cs="Times New Roman"/>
          <w:b/>
          <w:color w:val="000000"/>
          <w:sz w:val="32"/>
          <w:szCs w:val="28"/>
        </w:rPr>
        <w:t>第二节 深化政务服务改革</w:t>
      </w:r>
      <w:bookmarkEnd w:id="64"/>
      <w:bookmarkEnd w:id="65"/>
    </w:p>
    <w:p w14:paraId="1076989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b/>
          <w:color w:val="000000"/>
          <w:sz w:val="32"/>
          <w:szCs w:val="32"/>
        </w:rPr>
        <w:t>一、提升政务服务效率。</w:t>
      </w:r>
      <w:r>
        <w:rPr>
          <w:rFonts w:hint="default" w:ascii="Times New Roman" w:hAnsi="Times New Roman" w:eastAsia="仿宋_GB2312" w:cs="Times New Roman"/>
          <w:color w:val="000000"/>
          <w:sz w:val="32"/>
          <w:szCs w:val="32"/>
        </w:rPr>
        <w:t>健全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高效办成一件事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重点事项常态化推进机制，聚焦生活服务、产业扶持、工程建设、城市更新等领域高频事项，每年发布任务清单，持续优化办理流程，进一步减环节、减材料、减时限、减费用，推动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高效办成一件事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能办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好办、易办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转变。统筹线上与线下，因地制宜保留必要的线下服务渠道。全面落实首问负责、一次性告知、限时办结等制度，做好系统故障应急处置和人工兜底服务等工作。</w:t>
      </w:r>
      <w:r>
        <w:rPr>
          <w:rFonts w:hint="eastAsia" w:ascii="仿宋" w:hAnsi="仿宋" w:eastAsia="仿宋" w:cs="仿宋"/>
          <w:color w:val="FF0000"/>
          <w:sz w:val="32"/>
          <w:szCs w:val="32"/>
        </w:rPr>
        <w:t>全面落实市场准入负面清单制度，清理破除隐性壁垒，保障各类经营主体平等竞争。深化“邢商回归”“青蓝邢动”等市级政策衔接，强化政企恳谈会实效。</w:t>
      </w:r>
      <w:r>
        <w:rPr>
          <w:rFonts w:hint="default" w:ascii="Times New Roman" w:hAnsi="Times New Roman" w:eastAsia="仿宋_GB2312" w:cs="Times New Roman"/>
          <w:color w:val="000000"/>
          <w:sz w:val="32"/>
          <w:szCs w:val="32"/>
        </w:rPr>
        <w:t>同时，持续推广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远程勘验+信用承诺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模式，探索智能绘图等数字新技术应用，拓展帮办代办、审前服务、主动提醒服务等多元化服务方式，提高服务效能。</w:t>
      </w:r>
    </w:p>
    <w:p w14:paraId="7BC692A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二、优化招投标模式。</w:t>
      </w:r>
      <w:r>
        <w:rPr>
          <w:rFonts w:hint="default" w:ascii="Times New Roman" w:hAnsi="Times New Roman" w:eastAsia="仿宋_GB2312" w:cs="Times New Roman"/>
          <w:color w:val="000000"/>
          <w:sz w:val="32"/>
          <w:szCs w:val="32"/>
        </w:rPr>
        <w:t>巩固拓展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双盲+远程异地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招投标模式，将招标备案办理时限进行压减，探索</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当日即办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一次性告知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延时服务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等模式，降低企业参与招投标的时间成本和沟通成本。全面推进电子化招投标，推进招标项目全流程电子化不见面。推广电子保函，减少企业资金占用，推动招标活动更高效进行。</w:t>
      </w:r>
    </w:p>
    <w:p w14:paraId="194A4DCE">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三、规范涉企行政执法。</w:t>
      </w:r>
      <w:r>
        <w:rPr>
          <w:rFonts w:hint="default" w:ascii="Times New Roman" w:hAnsi="Times New Roman" w:eastAsia="仿宋_GB2312" w:cs="Times New Roman"/>
          <w:color w:val="000000"/>
          <w:sz w:val="32"/>
          <w:szCs w:val="32"/>
        </w:rPr>
        <w:t>严格落实权责清单制度，实行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入企扫码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制度，开展精准检查、联合检查，防止重复检查、多头检查。全面推行行政执法公示、执法全过程记录和重大执法决定法制审核</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三项制度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，建立涉企行政检查备案与联合检查机制和落实首查不罚制度，优化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综合查一次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双随机、一公开</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抽查，推行简单事项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一表通查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。创新涉企行政检查监督方式，推广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监督+服务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模式，实现常态化监督。运用人工智能、大数据进行统计分析，快速预警多头检查、重复检查、高频次检查等行为，对普遍、高发问题进行及时监督。强化产权执法司法保护，加强对查封、扣押、冻结等强制措施的司法监督，建立常态化案卷评查与责任追究机制，防止因滥用强制措施侵害企业合法权益。统筹推进行政执法队伍与监督力量建设，加强行政执法人员培训，以提升职业素养和专业能力为核心，着力建设高素质、专业化队伍；配齐配强行政执法监督力量、优化队伍结构，同步开展系统化业务培训，全面提升监督人员的法律素养、专业能力及执法监督水平。</w:t>
      </w:r>
    </w:p>
    <w:p w14:paraId="3F9F18CF">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_GB2312" w:cs="Times New Roman"/>
          <w:b/>
          <w:color w:val="000000"/>
          <w:sz w:val="32"/>
          <w:szCs w:val="32"/>
        </w:rPr>
      </w:pPr>
      <w:bookmarkStart w:id="66" w:name="_Toc6748"/>
      <w:bookmarkStart w:id="67" w:name="_Toc9141"/>
      <w:r>
        <w:rPr>
          <w:rFonts w:hint="default" w:ascii="Times New Roman" w:hAnsi="Times New Roman" w:eastAsia="楷体" w:cs="Times New Roman"/>
          <w:b/>
          <w:color w:val="000000"/>
          <w:sz w:val="32"/>
          <w:szCs w:val="28"/>
        </w:rPr>
        <w:t>第三节 深化投融资体制改革</w:t>
      </w:r>
      <w:bookmarkEnd w:id="66"/>
      <w:bookmarkEnd w:id="67"/>
    </w:p>
    <w:p w14:paraId="788B667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一、创新金融服务产品。</w:t>
      </w:r>
      <w:r>
        <w:rPr>
          <w:rFonts w:hint="default" w:ascii="Times New Roman" w:hAnsi="Times New Roman" w:eastAsia="仿宋_GB2312" w:cs="Times New Roman"/>
          <w:color w:val="000000"/>
          <w:sz w:val="32"/>
          <w:szCs w:val="32"/>
        </w:rPr>
        <w:t>立足</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1+4+N</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金融支持体系，积极招引域外银行、保险、证券、融资租赁、商业保理等各类金融机构在巨鹿落地展业，重点围绕高端装备关键零部件产业集群、新能源产业、金银花、高油酸花生和科技创新等领域，开发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集群贷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设备购置贷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技改专项贷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，对购置先进设备的企业给予贴息支持；推广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供应链票据贴现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应收账款保理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等产品，缓解上下游企业资金周转压力。针对小微企业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轻资产、缺抵押、财务不规范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的融资特点，以信用为核心探索开发信用类普惠产品，深化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银税互动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银商合作</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机制，依托企业纳税信用、商户经营流水等数据，推出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无抵押、纯信用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线上融资产品，实现线上申请、系统自动审批、资金实时到账，有效提升小微企业融资可得性和便利性。以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服务实体、支农支小、防控风险、改革创新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为目标，为巨鹿量身定制特色金融服务产品，为企业农户融资拓宽路径，力争到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末，全县特色金融产品达到55种，为企业放贷70亿元。</w:t>
      </w:r>
    </w:p>
    <w:p w14:paraId="3776ED9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二、健全社会信用体系。</w:t>
      </w:r>
      <w:r>
        <w:rPr>
          <w:rFonts w:hint="default" w:ascii="Times New Roman" w:hAnsi="Times New Roman" w:eastAsia="仿宋_GB2312" w:cs="Times New Roman"/>
          <w:color w:val="000000"/>
          <w:sz w:val="32"/>
          <w:szCs w:val="32"/>
        </w:rPr>
        <w:t>依托省级社会信用体系建设试点，整合市场监管、税务、社保、水电、司法等各领域信用信息，打造覆盖全域的信用档案和评价模型，构建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信用承诺+失信惩戒</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高效联动机制，推动实现整县授信。探索建立信用修复机制，允许失信主体通过纠正违法行为、严格履行信用承诺、积极参与公益服务等方式，经评估合格后修复信用，避免</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一次失信、终身受限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。同时，通过正向引导与规范约束并重，推动形成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知信、守信、用信、护信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的良好社会风尚，为优化营商环境、提升社会治理效能提供信用支撑。</w:t>
      </w:r>
    </w:p>
    <w:p w14:paraId="30867E1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三、完善银企对接机制。</w:t>
      </w:r>
      <w:r>
        <w:rPr>
          <w:rFonts w:hint="default" w:ascii="Times New Roman" w:hAnsi="Times New Roman" w:eastAsia="仿宋_GB2312" w:cs="Times New Roman"/>
          <w:color w:val="000000"/>
          <w:sz w:val="32"/>
          <w:szCs w:val="32"/>
        </w:rPr>
        <w:t>建立健全小微企业融资协调机制，加强部门、银行、企业交流对接，分领域分行业开展精准对接活动，推动金融资源与企业需求高效匹配。注重提升企业对金融产品和政策的知晓率与运用能力，建立健全常态化宣传培训机制，每年定期组织开展银企对接政策宣讲及金融业务培训，切实增强企业对接资本市场的主动性与实效性。力争到</w:t>
      </w:r>
      <w:bookmarkStart w:id="68" w:name="OLE_LINK22"/>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bookmarkEnd w:id="68"/>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末，全县贷款余额突破450亿元，存贷比提升至80%。</w:t>
      </w:r>
    </w:p>
    <w:p w14:paraId="478275E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四、探索保险保障模式。</w:t>
      </w:r>
      <w:r>
        <w:rPr>
          <w:rFonts w:hint="default" w:ascii="Times New Roman" w:hAnsi="Times New Roman" w:eastAsia="仿宋_GB2312" w:cs="Times New Roman"/>
          <w:color w:val="000000"/>
          <w:sz w:val="32"/>
          <w:szCs w:val="32"/>
        </w:rPr>
        <w:t>持续深化农业保险创新，重点推广金银花、鲜食杏、高油酸花生等特色农产品的气象指数保险与价格指数保险项目，并将保险种类扩展至瓜菜等新品种。持续探索工业保险模式，鼓励企业与保险公司合作发展安全生产责任险、产品质量险、专利保险、出口信用保险，为工业企业发展保驾护航。积极推出服务业保险，推广公众责任险、物流保险、电商保险等产品，实施具有巨鹿特色的普惠型健康险、养老险。推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保险+信贷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等模式创新，完善保险参与风险补偿机制。加强保险产品宣传与服务对接，提高保险覆盖面和渗透率。</w:t>
      </w:r>
    </w:p>
    <w:p w14:paraId="21A012A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eastAsia" w:ascii="Times New Roman" w:hAnsi="Times New Roman" w:eastAsia="仿宋_GB2312" w:cs="Times New Roman"/>
          <w:b/>
          <w:color w:val="000000"/>
          <w:sz w:val="32"/>
          <w:szCs w:val="32"/>
          <w:lang w:eastAsia="zh-CN"/>
        </w:rPr>
      </w:pPr>
      <w:r>
        <w:rPr>
          <w:rFonts w:hint="default" w:ascii="Times New Roman" w:hAnsi="Times New Roman" w:eastAsia="仿宋_GB2312" w:cs="Times New Roman"/>
          <w:b/>
          <w:color w:val="000000"/>
          <w:sz w:val="32"/>
          <w:szCs w:val="32"/>
        </w:rPr>
        <w:t>五、加强金融风险管控。</w:t>
      </w:r>
      <w:bookmarkStart w:id="69" w:name="_Toc219016496"/>
      <w:r>
        <w:rPr>
          <w:rFonts w:hint="default" w:ascii="Times New Roman" w:hAnsi="Times New Roman" w:eastAsia="仿宋_GB2312" w:cs="Times New Roman"/>
          <w:color w:val="000000"/>
          <w:sz w:val="32"/>
          <w:szCs w:val="32"/>
        </w:rPr>
        <w:t>对标省级金融风险防控指标,强化不良信贷精准管控，通过破产企业资产重组、贷款展期纾困、核销、清收等举措，着力处置存量风险，坚决遏制增量风险，确保全县不良贷款率低于省市平均水平。按照省市改革部署，扎实稳妥推动地方中小法人机构改革化险。积极推进政府债务监督管理，坚决守住不发生系统性风险的底线。加强防范非法集资的宣传培训，扎实开展专项整治。协同发力，对非法金融活动要保持高压态势，打早打小、露头就打，牢牢守护保障群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钱袋子</w:t>
      </w:r>
      <w:bookmarkEnd w:id="69"/>
      <w:r>
        <w:rPr>
          <w:rFonts w:hint="eastAsia" w:ascii="Times New Roman" w:hAnsi="Times New Roman" w:eastAsia="仿宋_GB2312" w:cs="Times New Roman"/>
          <w:color w:val="000000"/>
          <w:sz w:val="32"/>
          <w:szCs w:val="32"/>
          <w:lang w:eastAsia="zh-CN"/>
        </w:rPr>
        <w:t>”</w:t>
      </w:r>
    </w:p>
    <w:p w14:paraId="7BEA5ED9">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bookmarkStart w:id="70" w:name="_Toc10037"/>
      <w:bookmarkStart w:id="71" w:name="_Toc18593"/>
      <w:r>
        <w:rPr>
          <w:rFonts w:hint="default" w:ascii="Times New Roman" w:hAnsi="Times New Roman" w:eastAsia="黑体" w:cs="Times New Roman"/>
          <w:bCs/>
          <w:color w:val="000000"/>
          <w:sz w:val="32"/>
          <w:szCs w:val="28"/>
        </w:rPr>
        <w:br w:type="page"/>
      </w:r>
      <w:r>
        <w:rPr>
          <w:rFonts w:hint="default" w:ascii="Times New Roman" w:hAnsi="Times New Roman" w:eastAsia="黑体" w:cs="Times New Roman"/>
          <w:bCs/>
          <w:color w:val="000000"/>
          <w:sz w:val="32"/>
          <w:szCs w:val="28"/>
        </w:rPr>
        <w:t>第七章</w:t>
      </w:r>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推进新型城镇化，加快建设魅力古郡</w:t>
      </w:r>
      <w:bookmarkEnd w:id="70"/>
      <w:bookmarkEnd w:id="71"/>
    </w:p>
    <w:p w14:paraId="1E9645EC">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入推进以人为本的新型城镇化建设，围绕建设创新、宜居、美丽、韧性、文明、智慧的现代化人民城市目标，统筹推进北部新区、老城区和开发区建设发展，积极推动撤乡改镇，持续提高城镇化率，提升县城承载能力和宜居品质。</w:t>
      </w:r>
    </w:p>
    <w:p w14:paraId="639536EA">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72" w:name="_Toc7942"/>
      <w:bookmarkStart w:id="73" w:name="_Toc28176"/>
      <w:r>
        <w:rPr>
          <w:rFonts w:hint="default" w:ascii="Times New Roman" w:hAnsi="Times New Roman" w:eastAsia="楷体" w:cs="Times New Roman"/>
          <w:b/>
          <w:color w:val="000000"/>
          <w:sz w:val="32"/>
          <w:szCs w:val="28"/>
        </w:rPr>
        <w:t>第一节 塑造北部新区样板</w:t>
      </w:r>
      <w:bookmarkEnd w:id="72"/>
      <w:bookmarkEnd w:id="73"/>
    </w:p>
    <w:p w14:paraId="2383C29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一、完善空间布局。</w:t>
      </w:r>
      <w:r>
        <w:rPr>
          <w:rFonts w:hint="default" w:ascii="Times New Roman" w:hAnsi="Times New Roman" w:eastAsia="仿宋_GB2312" w:cs="Times New Roman"/>
          <w:color w:val="000000"/>
          <w:sz w:val="32"/>
          <w:szCs w:val="32"/>
        </w:rPr>
        <w:t>大力开展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新区建设突破行动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，完成地下综合管廊建设及配套道路建设，打通一批断头路，并积极谋划启动一批新的道路新建与提升工程，完善北部新区路网体系，打造高标准城市交通体系。</w:t>
      </w:r>
    </w:p>
    <w:p w14:paraId="414B56C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二、完善业态布局。</w:t>
      </w:r>
      <w:r>
        <w:rPr>
          <w:rFonts w:hint="default" w:ascii="Times New Roman" w:hAnsi="Times New Roman" w:eastAsia="仿宋_GB2312" w:cs="Times New Roman"/>
          <w:color w:val="000000"/>
          <w:sz w:val="32"/>
          <w:szCs w:val="32"/>
        </w:rPr>
        <w:t>以巨鹿中学新校区和第三中学、第四中学建设为契机，对北部新区进行前瞻布局，3个学圈带动形成生活圈、消费圈。推动商贸物流中心高效运营，规划建设城乡客运中心、快递仓储分拣配送中心、交通运输综合智慧平台、商贸集配仓储及农产品交易展厅，打造布局合理、功能完善、智慧高效、服务便捷的现代化客货邮服务体系。同时，加快建设康养中心、现代商业综合体等一批标志性项目，丰富功能业态，着力构建产、教、商、服一体融合的魅力新区。</w:t>
      </w:r>
    </w:p>
    <w:p w14:paraId="59E4CEA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三、提升生活品质。</w:t>
      </w:r>
      <w:r>
        <w:rPr>
          <w:rFonts w:hint="default" w:ascii="Times New Roman" w:hAnsi="Times New Roman" w:eastAsia="仿宋_GB2312" w:cs="Times New Roman"/>
          <w:color w:val="000000"/>
          <w:sz w:val="32"/>
          <w:szCs w:val="32"/>
        </w:rPr>
        <w:t>持续完善北部新区水，电，气，暖，通信和污水处理等基础设施。推进好房子，好小区建设，推动木匠庄社区，上疃社区棚户区改造，完成一批住房保障工程，打造一批品质小区，改善群众居住条件，同时谋划实施一批旧片区改造项目，提升城市品质，改善城市生活环境。启动实施兴泽路排水防涝工程，积极开发滨水休闲景观，有序实施道路绿化项目，建设一批特色游园和体育公园，打造健身步道和生态绿廊，加快构建蓝绿交织的高品质生活空间。</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7"/>
      </w:tblGrid>
      <w:tr w14:paraId="6B7A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57" w:type="dxa"/>
            <w:tcBorders>
              <w:top w:val="single" w:color="auto" w:sz="4" w:space="0"/>
              <w:left w:val="single" w:color="auto" w:sz="4" w:space="0"/>
              <w:bottom w:val="single" w:color="auto" w:sz="4" w:space="0"/>
              <w:right w:val="single" w:color="auto" w:sz="4" w:space="0"/>
            </w:tcBorders>
            <w:noWrap w:val="0"/>
            <w:vAlign w:val="top"/>
          </w:tcPr>
          <w:p w14:paraId="5C0DDF42">
            <w:pPr>
              <w:snapToGrid w:val="0"/>
              <w:spacing w:line="600" w:lineRule="exact"/>
              <w:jc w:val="center"/>
              <w:textAlignment w:val="center"/>
              <w:rPr>
                <w:rFonts w:hint="default" w:ascii="Times New Roman" w:hAnsi="Times New Roman" w:eastAsia="方正小标宋简体" w:cs="Times New Roman"/>
                <w:bCs/>
                <w:color w:val="000000"/>
                <w:sz w:val="44"/>
                <w:szCs w:val="32"/>
              </w:rPr>
            </w:pPr>
            <w:bookmarkStart w:id="74" w:name="OLE_LINK2"/>
            <w:r>
              <w:rPr>
                <w:rFonts w:hint="default" w:ascii="Times New Roman" w:hAnsi="Times New Roman" w:eastAsia="楷体" w:cs="Times New Roman"/>
                <w:b/>
                <w:bCs/>
                <w:color w:val="000000"/>
                <w:sz w:val="28"/>
                <w:szCs w:val="28"/>
                <w:lang w:bidi="ar"/>
              </w:rPr>
              <w:t>专栏7-1 北部新区重点建设工程</w:t>
            </w:r>
          </w:p>
        </w:tc>
      </w:tr>
      <w:tr w14:paraId="2825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57" w:type="dxa"/>
            <w:tcBorders>
              <w:top w:val="single" w:color="auto" w:sz="4" w:space="0"/>
              <w:left w:val="single" w:color="auto" w:sz="4" w:space="0"/>
              <w:bottom w:val="single" w:color="auto" w:sz="4" w:space="0"/>
              <w:right w:val="single" w:color="auto" w:sz="4" w:space="0"/>
            </w:tcBorders>
            <w:noWrap w:val="0"/>
            <w:vAlign w:val="top"/>
          </w:tcPr>
          <w:p w14:paraId="72AB779D">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w:t>
            </w:r>
            <w:r>
              <w:rPr>
                <w:rFonts w:hint="default" w:ascii="Times New Roman" w:hAnsi="Times New Roman" w:eastAsia="仿宋" w:cs="Times New Roman"/>
                <w:color w:val="000000"/>
                <w:sz w:val="24"/>
                <w:szCs w:val="24"/>
                <w:shd w:val="clear" w:color="auto" w:fill="FFFFFF"/>
              </w:rPr>
              <w:t>地下综合管廊建设项目</w:t>
            </w:r>
          </w:p>
          <w:p w14:paraId="087E8453">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2.</w:t>
            </w:r>
            <w:r>
              <w:rPr>
                <w:rFonts w:hint="default" w:ascii="Times New Roman" w:hAnsi="Times New Roman" w:eastAsia="仿宋" w:cs="Times New Roman"/>
                <w:color w:val="000000"/>
                <w:sz w:val="24"/>
                <w:szCs w:val="24"/>
                <w:shd w:val="clear" w:color="auto" w:fill="FFFFFF"/>
              </w:rPr>
              <w:t>光明街北延、万盛街北延建设项目</w:t>
            </w:r>
          </w:p>
          <w:p w14:paraId="289C5A5A">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3.</w:t>
            </w:r>
            <w:r>
              <w:rPr>
                <w:rFonts w:hint="default" w:ascii="Times New Roman" w:hAnsi="Times New Roman" w:eastAsia="仿宋" w:cs="Times New Roman"/>
                <w:color w:val="000000"/>
                <w:sz w:val="24"/>
                <w:szCs w:val="24"/>
                <w:shd w:val="clear" w:color="auto" w:fill="FFFFFF"/>
              </w:rPr>
              <w:t>道路新建与提升工程</w:t>
            </w:r>
          </w:p>
          <w:p w14:paraId="1BAC64AE">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4.</w:t>
            </w:r>
            <w:r>
              <w:rPr>
                <w:rFonts w:hint="default" w:ascii="Times New Roman" w:hAnsi="Times New Roman" w:eastAsia="仿宋" w:cs="Times New Roman"/>
                <w:color w:val="000000"/>
                <w:sz w:val="24"/>
                <w:szCs w:val="24"/>
                <w:shd w:val="clear" w:color="auto" w:fill="FFFFFF"/>
              </w:rPr>
              <w:t>路网体系提升项目</w:t>
            </w:r>
          </w:p>
          <w:p w14:paraId="7974BD58">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5.</w:t>
            </w:r>
            <w:r>
              <w:rPr>
                <w:rFonts w:hint="default" w:ascii="Times New Roman" w:hAnsi="Times New Roman" w:eastAsia="仿宋" w:cs="Times New Roman"/>
                <w:color w:val="000000"/>
                <w:sz w:val="24"/>
                <w:szCs w:val="24"/>
                <w:shd w:val="clear" w:color="auto" w:fill="FFFFFF"/>
              </w:rPr>
              <w:t>城乡客运中心</w:t>
            </w:r>
          </w:p>
          <w:p w14:paraId="6C0353FC">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6.</w:t>
            </w:r>
            <w:r>
              <w:rPr>
                <w:rFonts w:hint="default" w:ascii="Times New Roman" w:hAnsi="Times New Roman" w:eastAsia="仿宋" w:cs="Times New Roman"/>
                <w:color w:val="000000"/>
                <w:sz w:val="24"/>
                <w:szCs w:val="24"/>
                <w:shd w:val="clear" w:color="auto" w:fill="FFFFFF"/>
              </w:rPr>
              <w:t>快递仓储分拣配送中心</w:t>
            </w:r>
          </w:p>
          <w:p w14:paraId="52B2FFFB">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7.</w:t>
            </w:r>
            <w:r>
              <w:rPr>
                <w:rFonts w:hint="default" w:ascii="Times New Roman" w:hAnsi="Times New Roman" w:eastAsia="仿宋" w:cs="Times New Roman"/>
                <w:color w:val="000000"/>
                <w:sz w:val="24"/>
                <w:szCs w:val="24"/>
                <w:shd w:val="clear" w:color="auto" w:fill="FFFFFF"/>
              </w:rPr>
              <w:t>交通运输综合智慧平台</w:t>
            </w:r>
          </w:p>
          <w:p w14:paraId="6D38C4F1">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8.</w:t>
            </w:r>
            <w:r>
              <w:rPr>
                <w:rFonts w:hint="default" w:ascii="Times New Roman" w:hAnsi="Times New Roman" w:eastAsia="仿宋" w:cs="Times New Roman"/>
                <w:color w:val="000000"/>
                <w:sz w:val="24"/>
                <w:szCs w:val="24"/>
                <w:shd w:val="clear" w:color="auto" w:fill="FFFFFF"/>
              </w:rPr>
              <w:t>商贸集配仓储及农产品交易展厅</w:t>
            </w:r>
          </w:p>
          <w:p w14:paraId="625FDB76">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9.</w:t>
            </w:r>
            <w:r>
              <w:rPr>
                <w:rFonts w:hint="default" w:ascii="Times New Roman" w:hAnsi="Times New Roman" w:eastAsia="仿宋" w:cs="Times New Roman"/>
                <w:color w:val="000000"/>
                <w:sz w:val="24"/>
                <w:szCs w:val="24"/>
                <w:shd w:val="clear" w:color="auto" w:fill="FFFFFF"/>
              </w:rPr>
              <w:t>现代化客货邮服务体系项目</w:t>
            </w:r>
          </w:p>
          <w:p w14:paraId="6757E30F">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10.</w:t>
            </w:r>
            <w:r>
              <w:rPr>
                <w:rFonts w:hint="default" w:ascii="Times New Roman" w:hAnsi="Times New Roman" w:eastAsia="仿宋" w:cs="Times New Roman"/>
                <w:color w:val="000000"/>
                <w:sz w:val="24"/>
                <w:szCs w:val="24"/>
                <w:shd w:val="clear" w:color="auto" w:fill="FFFFFF"/>
              </w:rPr>
              <w:t>康养中心</w:t>
            </w:r>
          </w:p>
          <w:p w14:paraId="5E41C1E9">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11.</w:t>
            </w:r>
            <w:r>
              <w:rPr>
                <w:rFonts w:hint="default" w:ascii="Times New Roman" w:hAnsi="Times New Roman" w:eastAsia="仿宋" w:cs="Times New Roman"/>
                <w:color w:val="000000"/>
                <w:sz w:val="24"/>
                <w:szCs w:val="24"/>
                <w:shd w:val="clear" w:color="auto" w:fill="FFFFFF"/>
              </w:rPr>
              <w:t>现代商业综合体项目</w:t>
            </w:r>
          </w:p>
          <w:p w14:paraId="7577D12D">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12.</w:t>
            </w:r>
            <w:r>
              <w:rPr>
                <w:rFonts w:hint="default" w:ascii="Times New Roman" w:hAnsi="Times New Roman" w:eastAsia="仿宋" w:cs="Times New Roman"/>
                <w:color w:val="000000"/>
                <w:sz w:val="24"/>
                <w:szCs w:val="24"/>
                <w:shd w:val="clear" w:color="auto" w:fill="FFFFFF"/>
              </w:rPr>
              <w:t>水、电、气、暖、通信和污水处理等基础设施完善提升项目</w:t>
            </w:r>
          </w:p>
          <w:p w14:paraId="2D7EC981">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13.</w:t>
            </w:r>
            <w:r>
              <w:rPr>
                <w:rFonts w:hint="default" w:ascii="Times New Roman" w:hAnsi="Times New Roman" w:eastAsia="仿宋" w:cs="Times New Roman"/>
                <w:color w:val="000000"/>
                <w:sz w:val="24"/>
                <w:szCs w:val="24"/>
                <w:shd w:val="clear" w:color="auto" w:fill="FFFFFF"/>
              </w:rPr>
              <w:t>木匠庄社区、上疃社区棚户区改造</w:t>
            </w:r>
          </w:p>
          <w:p w14:paraId="13194472">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14.</w:t>
            </w:r>
            <w:r>
              <w:rPr>
                <w:rFonts w:hint="default" w:ascii="Times New Roman" w:hAnsi="Times New Roman" w:eastAsia="仿宋" w:cs="Times New Roman"/>
                <w:color w:val="000000"/>
                <w:sz w:val="24"/>
                <w:szCs w:val="24"/>
                <w:shd w:val="clear" w:color="auto" w:fill="FFFFFF"/>
              </w:rPr>
              <w:t>兴泽路排水防涝工程</w:t>
            </w:r>
          </w:p>
          <w:p w14:paraId="5ED62B23">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15.</w:t>
            </w:r>
            <w:r>
              <w:rPr>
                <w:rFonts w:hint="default" w:ascii="Times New Roman" w:hAnsi="Times New Roman" w:eastAsia="仿宋" w:cs="Times New Roman"/>
                <w:color w:val="000000"/>
                <w:sz w:val="24"/>
                <w:szCs w:val="24"/>
                <w:shd w:val="clear" w:color="auto" w:fill="FFFFFF"/>
              </w:rPr>
              <w:t>道路绿化项目</w:t>
            </w:r>
          </w:p>
          <w:p w14:paraId="5368B640">
            <w:pPr>
              <w:keepNext w:val="0"/>
              <w:keepLines w:val="0"/>
              <w:pageBreakBefore w:val="0"/>
              <w:widowControl w:val="0"/>
              <w:numPr>
                <w:ilvl w:val="0"/>
                <w:numId w:val="0"/>
              </w:numPr>
              <w:kinsoku/>
              <w:wordWrap/>
              <w:overflowPunct/>
              <w:topLinePunct w:val="0"/>
              <w:autoSpaceDE/>
              <w:autoSpaceDN/>
              <w:bidi w:val="0"/>
              <w:adjustRightInd w:val="0"/>
              <w:snapToGrid w:val="0"/>
              <w:spacing w:line="420" w:lineRule="exact"/>
              <w:ind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sz w:val="24"/>
                <w:szCs w:val="24"/>
                <w:shd w:val="clear" w:color="auto" w:fill="FFFFFF"/>
                <w:lang w:val="en-US" w:eastAsia="zh-CN"/>
              </w:rPr>
              <w:t>16.</w:t>
            </w:r>
            <w:r>
              <w:rPr>
                <w:rFonts w:hint="default" w:ascii="Times New Roman" w:hAnsi="Times New Roman" w:eastAsia="仿宋" w:cs="Times New Roman"/>
                <w:color w:val="000000"/>
                <w:sz w:val="24"/>
                <w:szCs w:val="24"/>
                <w:shd w:val="clear" w:color="auto" w:fill="FFFFFF"/>
              </w:rPr>
              <w:t>特色游园和体育公园</w:t>
            </w:r>
          </w:p>
        </w:tc>
      </w:tr>
      <w:bookmarkEnd w:id="74"/>
    </w:tbl>
    <w:p w14:paraId="73B03047">
      <w:pPr>
        <w:keepNext/>
        <w:keepLines/>
        <w:pageBreakBefore w:val="0"/>
        <w:widowControl w:val="0"/>
        <w:kinsoku/>
        <w:wordWrap/>
        <w:overflowPunct/>
        <w:topLinePunct w:val="0"/>
        <w:autoSpaceDE/>
        <w:autoSpaceDN/>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75" w:name="_Toc25097"/>
      <w:bookmarkStart w:id="76" w:name="_Toc7550"/>
      <w:r>
        <w:rPr>
          <w:rFonts w:hint="default" w:ascii="Times New Roman" w:hAnsi="Times New Roman" w:eastAsia="楷体" w:cs="Times New Roman"/>
          <w:b/>
          <w:color w:val="000000"/>
          <w:sz w:val="32"/>
          <w:szCs w:val="28"/>
        </w:rPr>
        <w:t>第二节 推进县城更新提质</w:t>
      </w:r>
      <w:bookmarkEnd w:id="75"/>
      <w:bookmarkEnd w:id="76"/>
    </w:p>
    <w:p w14:paraId="0D0B4032">
      <w:pPr>
        <w:pageBreakBefore w:val="0"/>
        <w:widowControl w:val="0"/>
        <w:kinsoku/>
        <w:wordWrap/>
        <w:overflowPunct/>
        <w:topLinePunct w:val="0"/>
        <w:autoSpaceDE/>
        <w:autoSpaceDN/>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一、推进功能提升。</w:t>
      </w:r>
      <w:r>
        <w:rPr>
          <w:rFonts w:hint="default" w:ascii="Times New Roman" w:hAnsi="Times New Roman" w:eastAsia="仿宋_GB2312" w:cs="Times New Roman"/>
          <w:color w:val="000000"/>
          <w:sz w:val="32"/>
          <w:szCs w:val="32"/>
        </w:rPr>
        <w:t>全面优化路网结构，新建提升一批城区道路，打通新兴路、东安街、霞光街、迎宾街等一批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断头路</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，畅通交通微循环。提升设施管理维护水平，坚持预防维护和提升改造并举，对县城主要街道及重点区域基础设施进行管理维护，全面提升运行水平。同时，积极引进数字技术，加快实现市政基础设施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一张图</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智能化管理。优化城区防汛排涝体系，扎实推进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三渠一河</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主次街道和背街胡同排水设施管网改造升级，提升安全韧性。优化供热体系，推进供热设施和热源升级改造，强化燃气安全运行监测和老旧燃气管网设施更新改造，提升供热保障水平。推进生活垃圾转运站、建筑垃圾堆填场、住宅小区电力改造工程及再生水回用项目建设，提升配套服务水平。</w:t>
      </w:r>
    </w:p>
    <w:p w14:paraId="339F45F9">
      <w:pPr>
        <w:pageBreakBefore w:val="0"/>
        <w:widowControl w:val="0"/>
        <w:kinsoku/>
        <w:wordWrap/>
        <w:overflowPunct/>
        <w:topLinePunct w:val="0"/>
        <w:autoSpaceDE/>
        <w:autoSpaceDN/>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二、优化县城蓝绿空间。</w:t>
      </w:r>
      <w:r>
        <w:rPr>
          <w:rFonts w:hint="default" w:ascii="Times New Roman" w:hAnsi="Times New Roman" w:eastAsia="仿宋_GB2312" w:cs="Times New Roman"/>
          <w:color w:val="000000"/>
          <w:sz w:val="32"/>
          <w:szCs w:val="32"/>
        </w:rPr>
        <w:t>健全城市公园和绿道网络体系，在建成区核心地区利用边角地块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见缝插绿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，新建口袋公园5个以上；推进绿道、林荫道贯通工程，对健康路、风清路等主要街道进行绿化提升改造，构建生态廊道绿色脉络，实现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300米见绿、500米见园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的绿化格局，提升县城宜居水平。</w:t>
      </w:r>
    </w:p>
    <w:p w14:paraId="25C30EB9">
      <w:pPr>
        <w:pageBreakBefore w:val="0"/>
        <w:widowControl w:val="0"/>
        <w:kinsoku/>
        <w:wordWrap/>
        <w:overflowPunct/>
        <w:topLinePunct w:val="0"/>
        <w:autoSpaceDE/>
        <w:autoSpaceDN/>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三、丰富县城文化内涵。</w:t>
      </w:r>
      <w:r>
        <w:rPr>
          <w:rFonts w:hint="default" w:ascii="Times New Roman" w:hAnsi="Times New Roman" w:eastAsia="仿宋_GB2312" w:cs="Times New Roman"/>
          <w:color w:val="000000"/>
          <w:sz w:val="32"/>
          <w:szCs w:val="32"/>
        </w:rPr>
        <w:t>深入挖掘巨鹿作为千年古郡的历史底蕴，依托</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巨鹿之战</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等重大历史事件及大唐名相魏徵故里的人文积淀，强化文化赋能。依托巨鹿宋城考古发掘，以打造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宋城文化街区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为核心，对国家级非遗四股弦、省级非遗乱弹、洪拳等珍贵遗产进行活态传承与整合再现，打造沉浸式宋韵生活场景，重塑古郡风貌。实施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彩绘街区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特色项目，讲述历史典故，弘扬时代精神。在县城主要道路节点、街角游园与公共建筑中，结合现代设计元素，有机融入金银花等地理标志性物产符号以及古郡文化图案等巨鹿特色文化符号，打造有风格、有气质的魅力古郡。</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2"/>
      </w:tblGrid>
      <w:tr w14:paraId="6AE1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812" w:type="dxa"/>
            <w:tcBorders>
              <w:top w:val="single" w:color="auto" w:sz="4" w:space="0"/>
              <w:left w:val="single" w:color="auto" w:sz="4" w:space="0"/>
              <w:bottom w:val="single" w:color="auto" w:sz="4" w:space="0"/>
              <w:right w:val="single" w:color="auto" w:sz="4" w:space="0"/>
            </w:tcBorders>
            <w:noWrap w:val="0"/>
            <w:vAlign w:val="top"/>
          </w:tcPr>
          <w:p w14:paraId="094A0500">
            <w:pPr>
              <w:snapToGrid w:val="0"/>
              <w:spacing w:line="600" w:lineRule="exact"/>
              <w:jc w:val="center"/>
              <w:textAlignment w:val="center"/>
              <w:rPr>
                <w:rFonts w:hint="default" w:ascii="Times New Roman" w:hAnsi="Times New Roman" w:eastAsia="方正小标宋简体" w:cs="Times New Roman"/>
                <w:bCs/>
                <w:color w:val="000000"/>
                <w:sz w:val="44"/>
                <w:szCs w:val="32"/>
              </w:rPr>
            </w:pPr>
            <w:r>
              <w:rPr>
                <w:rFonts w:hint="default" w:ascii="Times New Roman" w:hAnsi="Times New Roman" w:eastAsia="楷体" w:cs="Times New Roman"/>
                <w:b/>
                <w:bCs/>
                <w:color w:val="000000"/>
                <w:sz w:val="28"/>
                <w:szCs w:val="28"/>
                <w:lang w:bidi="ar"/>
              </w:rPr>
              <w:t>专栏7-2 城市更新项目</w:t>
            </w:r>
          </w:p>
        </w:tc>
      </w:tr>
      <w:tr w14:paraId="5BBC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atLeast"/>
          <w:jc w:val="center"/>
        </w:trPr>
        <w:tc>
          <w:tcPr>
            <w:tcW w:w="8812" w:type="dxa"/>
            <w:tcBorders>
              <w:top w:val="single" w:color="auto" w:sz="4" w:space="0"/>
              <w:left w:val="single" w:color="auto" w:sz="4" w:space="0"/>
              <w:bottom w:val="single" w:color="auto" w:sz="4" w:space="0"/>
              <w:right w:val="single" w:color="auto" w:sz="4" w:space="0"/>
            </w:tcBorders>
            <w:noWrap w:val="0"/>
            <w:vAlign w:val="top"/>
          </w:tcPr>
          <w:p w14:paraId="4FD3640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w:t>
            </w:r>
            <w:r>
              <w:rPr>
                <w:rFonts w:hint="default" w:ascii="Times New Roman" w:hAnsi="Times New Roman" w:eastAsia="仿宋" w:cs="Times New Roman"/>
                <w:color w:val="000000"/>
                <w:sz w:val="24"/>
                <w:szCs w:val="24"/>
                <w:shd w:val="clear" w:color="auto" w:fill="FFFFFF"/>
              </w:rPr>
              <w:t>新华街南延、建设街南延、迎宾街南延、东安街南延道路建设工程</w:t>
            </w:r>
          </w:p>
          <w:p w14:paraId="00FA606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w:t>
            </w:r>
            <w:r>
              <w:rPr>
                <w:rFonts w:hint="default" w:ascii="Times New Roman" w:hAnsi="Times New Roman" w:eastAsia="仿宋" w:cs="Times New Roman"/>
                <w:color w:val="000000"/>
                <w:sz w:val="24"/>
                <w:szCs w:val="24"/>
                <w:shd w:val="clear" w:color="auto" w:fill="FFFFFF"/>
              </w:rPr>
              <w:t>新兴路、春晓街、东韩路、柴庄路、霞光街等断头路打通工程</w:t>
            </w:r>
          </w:p>
          <w:p w14:paraId="6F13DC6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firstLine="480" w:firstLineChars="20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3.</w:t>
            </w:r>
            <w:r>
              <w:rPr>
                <w:rFonts w:hint="default" w:ascii="Times New Roman" w:hAnsi="Times New Roman" w:eastAsia="仿宋" w:cs="Times New Roman"/>
                <w:color w:val="000000"/>
                <w:sz w:val="24"/>
                <w:szCs w:val="24"/>
                <w:shd w:val="clear" w:color="auto" w:fill="FFFFFF"/>
              </w:rPr>
              <w:t>西街社区、南街社区、粮食局和县供销社家属院、政府家属院、技工学</w:t>
            </w:r>
            <w:r>
              <w:rPr>
                <w:rFonts w:hint="default" w:ascii="Times New Roman" w:hAnsi="Times New Roman" w:eastAsia="仿宋" w:cs="Times New Roman"/>
                <w:color w:val="000000"/>
                <w:sz w:val="24"/>
                <w:szCs w:val="24"/>
                <w:shd w:val="clear" w:color="auto" w:fill="FFFFFF"/>
                <w:lang w:eastAsia="zh-CN"/>
              </w:rPr>
              <w:t>校</w:t>
            </w:r>
            <w:r>
              <w:rPr>
                <w:rFonts w:hint="default" w:ascii="Times New Roman" w:hAnsi="Times New Roman" w:eastAsia="仿宋" w:cs="Times New Roman"/>
                <w:color w:val="000000"/>
                <w:sz w:val="24"/>
                <w:szCs w:val="24"/>
                <w:shd w:val="clear" w:color="auto" w:fill="FFFFFF"/>
              </w:rPr>
              <w:t>家属院、人行家属院等一批老旧小区改造项目</w:t>
            </w:r>
          </w:p>
          <w:p w14:paraId="136D199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4.</w:t>
            </w:r>
            <w:r>
              <w:rPr>
                <w:rFonts w:hint="default" w:ascii="Times New Roman" w:hAnsi="Times New Roman" w:eastAsia="仿宋" w:cs="Times New Roman"/>
                <w:color w:val="000000"/>
                <w:sz w:val="24"/>
                <w:szCs w:val="24"/>
                <w:shd w:val="clear" w:color="auto" w:fill="FFFFFF"/>
              </w:rPr>
              <w:t>御品江山、广电花园、清华园、万润国际等97个住宅小区电力改造工程</w:t>
            </w:r>
          </w:p>
          <w:p w14:paraId="24B2613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5.</w:t>
            </w:r>
            <w:r>
              <w:rPr>
                <w:rFonts w:hint="default" w:ascii="Times New Roman" w:hAnsi="Times New Roman" w:eastAsia="仿宋" w:cs="Times New Roman"/>
                <w:color w:val="000000"/>
                <w:sz w:val="24"/>
                <w:szCs w:val="24"/>
                <w:shd w:val="clear" w:color="auto" w:fill="FFFFFF"/>
              </w:rPr>
              <w:t>城区道路市政基础设施提升改造</w:t>
            </w:r>
          </w:p>
          <w:p w14:paraId="4D6BC26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6.</w:t>
            </w:r>
            <w:r>
              <w:rPr>
                <w:rFonts w:hint="default" w:ascii="Times New Roman" w:hAnsi="Times New Roman" w:eastAsia="仿宋" w:cs="Times New Roman"/>
                <w:color w:val="000000"/>
                <w:sz w:val="24"/>
                <w:szCs w:val="24"/>
                <w:shd w:val="clear" w:color="auto" w:fill="FFFFFF"/>
              </w:rPr>
              <w:t>市政基础设施</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一张图</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数据信息管理库</w:t>
            </w:r>
          </w:p>
          <w:p w14:paraId="5020346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7.</w:t>
            </w:r>
            <w:r>
              <w:rPr>
                <w:rFonts w:hint="default" w:ascii="Times New Roman" w:hAnsi="Times New Roman" w:eastAsia="仿宋" w:cs="Times New Roman"/>
                <w:color w:val="000000"/>
                <w:sz w:val="24"/>
                <w:szCs w:val="24"/>
                <w:shd w:val="clear" w:color="auto" w:fill="FFFFFF"/>
              </w:rPr>
              <w:t>市政基础设施预防性维护</w:t>
            </w:r>
          </w:p>
          <w:p w14:paraId="7D6BEC15">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8.</w:t>
            </w:r>
            <w:r>
              <w:rPr>
                <w:rFonts w:hint="default" w:ascii="Times New Roman" w:hAnsi="Times New Roman" w:eastAsia="仿宋" w:cs="Times New Roman"/>
                <w:color w:val="000000"/>
                <w:sz w:val="24"/>
                <w:szCs w:val="24"/>
                <w:shd w:val="clear" w:color="auto" w:fill="FFFFFF"/>
              </w:rPr>
              <w:t>城区主街道市政基础设施提升改造</w:t>
            </w:r>
          </w:p>
          <w:p w14:paraId="27EF058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9.</w:t>
            </w:r>
            <w:r>
              <w:rPr>
                <w:rFonts w:hint="default" w:ascii="Times New Roman" w:hAnsi="Times New Roman" w:eastAsia="仿宋" w:cs="Times New Roman"/>
                <w:color w:val="000000"/>
                <w:sz w:val="24"/>
                <w:szCs w:val="24"/>
                <w:shd w:val="clear" w:color="auto" w:fill="FFFFFF"/>
              </w:rPr>
              <w:t>城区防汛排涝、城区</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三渠一河</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水系</w:t>
            </w:r>
          </w:p>
          <w:p w14:paraId="49BDD51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10.</w:t>
            </w:r>
            <w:r>
              <w:rPr>
                <w:rFonts w:hint="default" w:ascii="Times New Roman" w:hAnsi="Times New Roman" w:eastAsia="仿宋" w:cs="Times New Roman"/>
                <w:color w:val="000000"/>
                <w:sz w:val="24"/>
                <w:szCs w:val="24"/>
                <w:shd w:val="clear" w:color="auto" w:fill="FFFFFF"/>
              </w:rPr>
              <w:t>县城排水设施建设项目（二期）</w:t>
            </w:r>
          </w:p>
          <w:p w14:paraId="6A3E264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11.</w:t>
            </w:r>
            <w:r>
              <w:rPr>
                <w:rFonts w:hint="default" w:ascii="Times New Roman" w:hAnsi="Times New Roman" w:eastAsia="仿宋" w:cs="Times New Roman"/>
                <w:color w:val="000000"/>
                <w:sz w:val="24"/>
                <w:szCs w:val="24"/>
                <w:shd w:val="clear" w:color="auto" w:fill="FFFFFF"/>
              </w:rPr>
              <w:t>排水设施提升改造项目</w:t>
            </w:r>
          </w:p>
          <w:p w14:paraId="1F80722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12.</w:t>
            </w:r>
            <w:r>
              <w:rPr>
                <w:rFonts w:hint="default" w:ascii="Times New Roman" w:hAnsi="Times New Roman" w:eastAsia="仿宋" w:cs="Times New Roman"/>
                <w:color w:val="000000"/>
                <w:sz w:val="24"/>
                <w:szCs w:val="24"/>
                <w:shd w:val="clear" w:color="auto" w:fill="FFFFFF"/>
              </w:rPr>
              <w:t>主城区排水管网更新改造</w:t>
            </w:r>
          </w:p>
          <w:p w14:paraId="13B181A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13.</w:t>
            </w:r>
            <w:r>
              <w:rPr>
                <w:rFonts w:hint="default" w:ascii="Times New Roman" w:hAnsi="Times New Roman" w:eastAsia="仿宋" w:cs="Times New Roman"/>
                <w:color w:val="000000"/>
                <w:sz w:val="24"/>
                <w:szCs w:val="24"/>
                <w:shd w:val="clear" w:color="auto" w:fill="FFFFFF"/>
              </w:rPr>
              <w:t>黄巾大道—一行大道排水改造提升</w:t>
            </w:r>
          </w:p>
          <w:p w14:paraId="27279CD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14.</w:t>
            </w:r>
            <w:r>
              <w:rPr>
                <w:rFonts w:hint="default" w:ascii="Times New Roman" w:hAnsi="Times New Roman" w:eastAsia="仿宋" w:cs="Times New Roman"/>
                <w:color w:val="000000"/>
                <w:sz w:val="24"/>
                <w:szCs w:val="24"/>
                <w:shd w:val="clear" w:color="auto" w:fill="FFFFFF"/>
              </w:rPr>
              <w:t>城区排水设施提升改造等项目建设</w:t>
            </w:r>
          </w:p>
          <w:p w14:paraId="370235B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15.</w:t>
            </w:r>
            <w:r>
              <w:rPr>
                <w:rFonts w:hint="default" w:ascii="Times New Roman" w:hAnsi="Times New Roman" w:eastAsia="仿宋" w:cs="Times New Roman"/>
                <w:color w:val="000000"/>
                <w:sz w:val="24"/>
                <w:szCs w:val="24"/>
                <w:shd w:val="clear" w:color="auto" w:fill="FFFFFF"/>
              </w:rPr>
              <w:t>生活污水处理厂百乐克提升改造</w:t>
            </w:r>
          </w:p>
          <w:p w14:paraId="0EB15D2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16.</w:t>
            </w:r>
            <w:r>
              <w:rPr>
                <w:rFonts w:hint="default" w:ascii="Times New Roman" w:hAnsi="Times New Roman" w:eastAsia="仿宋" w:cs="Times New Roman"/>
                <w:color w:val="000000"/>
                <w:sz w:val="24"/>
                <w:szCs w:val="24"/>
                <w:shd w:val="clear" w:color="auto" w:fill="FFFFFF"/>
              </w:rPr>
              <w:t>污水处理厂新建项目</w:t>
            </w:r>
          </w:p>
          <w:p w14:paraId="2F76BAF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17.</w:t>
            </w:r>
            <w:r>
              <w:rPr>
                <w:rFonts w:hint="default" w:ascii="Times New Roman" w:hAnsi="Times New Roman" w:eastAsia="仿宋" w:cs="Times New Roman"/>
                <w:color w:val="000000"/>
                <w:sz w:val="24"/>
                <w:szCs w:val="24"/>
                <w:shd w:val="clear" w:color="auto" w:fill="FFFFFF"/>
              </w:rPr>
              <w:t>再生水回用项目</w:t>
            </w:r>
          </w:p>
          <w:p w14:paraId="5D36F11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18.</w:t>
            </w:r>
            <w:r>
              <w:rPr>
                <w:rFonts w:hint="default" w:ascii="Times New Roman" w:hAnsi="Times New Roman" w:eastAsia="仿宋" w:cs="Times New Roman"/>
                <w:color w:val="000000"/>
                <w:sz w:val="24"/>
                <w:szCs w:val="24"/>
                <w:shd w:val="clear" w:color="auto" w:fill="FFFFFF"/>
              </w:rPr>
              <w:t>城区集中供热设施升级改造项目</w:t>
            </w:r>
          </w:p>
          <w:p w14:paraId="2920C13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19.</w:t>
            </w:r>
            <w:r>
              <w:rPr>
                <w:rFonts w:hint="default" w:ascii="Times New Roman" w:hAnsi="Times New Roman" w:eastAsia="仿宋" w:cs="Times New Roman"/>
                <w:color w:val="000000"/>
                <w:sz w:val="24"/>
                <w:szCs w:val="24"/>
                <w:shd w:val="clear" w:color="auto" w:fill="FFFFFF"/>
              </w:rPr>
              <w:t>城区集中供热热源升级改造项目</w:t>
            </w:r>
          </w:p>
          <w:p w14:paraId="2F7AD51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20.</w:t>
            </w:r>
            <w:r>
              <w:rPr>
                <w:rFonts w:hint="default" w:ascii="Times New Roman" w:hAnsi="Times New Roman" w:eastAsia="仿宋" w:cs="Times New Roman"/>
                <w:color w:val="000000"/>
                <w:sz w:val="24"/>
                <w:szCs w:val="24"/>
                <w:shd w:val="clear" w:color="auto" w:fill="FFFFFF"/>
              </w:rPr>
              <w:t>生物质能源综合利用清洁供热项目</w:t>
            </w:r>
          </w:p>
          <w:p w14:paraId="0413DB1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21.</w:t>
            </w:r>
            <w:r>
              <w:rPr>
                <w:rFonts w:hint="default" w:ascii="Times New Roman" w:hAnsi="Times New Roman" w:eastAsia="仿宋" w:cs="Times New Roman"/>
                <w:color w:val="000000"/>
                <w:sz w:val="24"/>
                <w:szCs w:val="24"/>
                <w:shd w:val="clear" w:color="auto" w:fill="FFFFFF"/>
              </w:rPr>
              <w:t>燃气安全运行监测能力项目</w:t>
            </w:r>
          </w:p>
          <w:p w14:paraId="71583CC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22.</w:t>
            </w:r>
            <w:r>
              <w:rPr>
                <w:rFonts w:hint="default" w:ascii="Times New Roman" w:hAnsi="Times New Roman" w:eastAsia="仿宋" w:cs="Times New Roman"/>
                <w:color w:val="000000"/>
                <w:sz w:val="24"/>
                <w:szCs w:val="24"/>
                <w:shd w:val="clear" w:color="auto" w:fill="FFFFFF"/>
              </w:rPr>
              <w:t>老旧燃气管网设施更新改造项目建设</w:t>
            </w:r>
          </w:p>
          <w:p w14:paraId="257862A5">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23.</w:t>
            </w:r>
            <w:r>
              <w:rPr>
                <w:rFonts w:hint="default" w:ascii="Times New Roman" w:hAnsi="Times New Roman" w:eastAsia="仿宋" w:cs="Times New Roman"/>
                <w:color w:val="000000"/>
                <w:sz w:val="24"/>
                <w:szCs w:val="24"/>
                <w:shd w:val="clear" w:color="auto" w:fill="FFFFFF"/>
              </w:rPr>
              <w:t>生活垃圾转运体系建设</w:t>
            </w:r>
          </w:p>
          <w:p w14:paraId="4993D4E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24.</w:t>
            </w:r>
            <w:r>
              <w:rPr>
                <w:rFonts w:hint="default" w:ascii="Times New Roman" w:hAnsi="Times New Roman" w:eastAsia="仿宋" w:cs="Times New Roman"/>
                <w:color w:val="000000"/>
                <w:sz w:val="24"/>
                <w:szCs w:val="24"/>
                <w:shd w:val="clear" w:color="auto" w:fill="FFFFFF"/>
              </w:rPr>
              <w:t>建筑垃圾堆填场建设</w:t>
            </w:r>
          </w:p>
          <w:p w14:paraId="6276C10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25.</w:t>
            </w:r>
            <w:r>
              <w:rPr>
                <w:rFonts w:hint="default" w:ascii="Times New Roman" w:hAnsi="Times New Roman" w:eastAsia="仿宋" w:cs="Times New Roman"/>
                <w:color w:val="000000"/>
                <w:sz w:val="24"/>
                <w:szCs w:val="24"/>
                <w:shd w:val="clear" w:color="auto" w:fill="FFFFFF"/>
              </w:rPr>
              <w:t>住宅小区电力改造工程建设</w:t>
            </w:r>
          </w:p>
          <w:p w14:paraId="624F818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26.</w:t>
            </w:r>
            <w:r>
              <w:rPr>
                <w:rFonts w:hint="default" w:ascii="Times New Roman" w:hAnsi="Times New Roman" w:eastAsia="仿宋" w:cs="Times New Roman"/>
                <w:color w:val="000000"/>
                <w:sz w:val="24"/>
                <w:szCs w:val="24"/>
                <w:shd w:val="clear" w:color="auto" w:fill="FFFFFF"/>
              </w:rPr>
              <w:t>新建口袋公园和体育公园</w:t>
            </w:r>
          </w:p>
          <w:p w14:paraId="1BA3D78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27.</w:t>
            </w:r>
            <w:r>
              <w:rPr>
                <w:rFonts w:hint="default" w:ascii="Times New Roman" w:hAnsi="Times New Roman" w:eastAsia="仿宋" w:cs="Times New Roman"/>
                <w:color w:val="000000"/>
                <w:sz w:val="24"/>
                <w:szCs w:val="24"/>
                <w:shd w:val="clear" w:color="auto" w:fill="FFFFFF"/>
              </w:rPr>
              <w:t>绿道、林荫道贯通工程</w:t>
            </w:r>
          </w:p>
          <w:p w14:paraId="5DE2866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845" w:leftChars="0" w:hanging="363" w:firstLineChars="0"/>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28.</w:t>
            </w:r>
            <w:r>
              <w:rPr>
                <w:rFonts w:hint="default" w:ascii="Times New Roman" w:hAnsi="Times New Roman" w:eastAsia="仿宋" w:cs="Times New Roman"/>
                <w:color w:val="000000"/>
                <w:sz w:val="24"/>
                <w:szCs w:val="24"/>
                <w:shd w:val="clear" w:color="auto" w:fill="FFFFFF"/>
              </w:rPr>
              <w:t>健康路、风清路等主要街道绿化提升改造项目</w:t>
            </w:r>
          </w:p>
        </w:tc>
      </w:tr>
    </w:tbl>
    <w:p w14:paraId="37F2C294">
      <w:pPr>
        <w:keepNext/>
        <w:keepLines/>
        <w:pageBreakBefore w:val="0"/>
        <w:widowControl w:val="0"/>
        <w:kinsoku/>
        <w:wordWrap/>
        <w:overflowPunct/>
        <w:topLinePunct w:val="0"/>
        <w:autoSpaceDE/>
        <w:autoSpaceDN/>
        <w:bidi w:val="0"/>
        <w:adjustRightInd/>
        <w:snapToGrid/>
        <w:spacing w:before="313" w:beforeLines="100" w:line="570" w:lineRule="exact"/>
        <w:contextualSpacing/>
        <w:jc w:val="center"/>
        <w:textAlignment w:val="auto"/>
        <w:outlineLvl w:val="1"/>
        <w:rPr>
          <w:rFonts w:hint="default" w:ascii="Times New Roman" w:hAnsi="Times New Roman" w:eastAsia="楷体" w:cs="Times New Roman"/>
          <w:b/>
          <w:color w:val="000000"/>
          <w:sz w:val="32"/>
          <w:szCs w:val="28"/>
        </w:rPr>
      </w:pPr>
      <w:bookmarkStart w:id="77" w:name="_Toc17753"/>
      <w:bookmarkStart w:id="78" w:name="_Toc24228"/>
      <w:r>
        <w:rPr>
          <w:rFonts w:hint="default" w:ascii="Times New Roman" w:hAnsi="Times New Roman" w:eastAsia="楷体" w:cs="Times New Roman"/>
          <w:b/>
          <w:color w:val="000000"/>
          <w:sz w:val="32"/>
          <w:szCs w:val="28"/>
        </w:rPr>
        <w:t>第三节 打造城市治理标杆</w:t>
      </w:r>
      <w:bookmarkEnd w:id="77"/>
      <w:bookmarkEnd w:id="78"/>
    </w:p>
    <w:p w14:paraId="3894596F">
      <w:pPr>
        <w:pageBreakBefore w:val="0"/>
        <w:widowControl w:val="0"/>
        <w:kinsoku/>
        <w:wordWrap/>
        <w:overflowPunct/>
        <w:topLinePunct w:val="0"/>
        <w:autoSpaceDE/>
        <w:autoSpaceDN/>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一、严格规划约束。</w:t>
      </w:r>
      <w:r>
        <w:rPr>
          <w:rFonts w:hint="default" w:ascii="Times New Roman" w:hAnsi="Times New Roman" w:eastAsia="仿宋_GB2312" w:cs="Times New Roman"/>
          <w:color w:val="000000"/>
          <w:sz w:val="32"/>
          <w:szCs w:val="32"/>
        </w:rPr>
        <w:t>持续修订完善《巨鹿县国土空间总体规划（2021-2035年）》，维护规划的严肃性与权威性。坚持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多规合一</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原则，严格守住耕地保护红线和城镇开发边界，着力构建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一廊两轴，三区四心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中心城区空间结构，科学划定并引导产业向经济开发区集聚，生活服务功能在老城区与北部新区优化，生态空间依托洪溢河等蓝绿网络进行修复与串联。通过规划约束、定期评估，确保生产、生活、生态三大空间布局科学、功能互补、协同发展。</w:t>
      </w:r>
    </w:p>
    <w:p w14:paraId="4A74F5F0">
      <w:pPr>
        <w:pageBreakBefore w:val="0"/>
        <w:widowControl w:val="0"/>
        <w:kinsoku/>
        <w:wordWrap/>
        <w:overflowPunct/>
        <w:topLinePunct w:val="0"/>
        <w:autoSpaceDE/>
        <w:autoSpaceDN/>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二、推进数字治理。</w:t>
      </w:r>
      <w:r>
        <w:rPr>
          <w:rFonts w:hint="default" w:ascii="Times New Roman" w:hAnsi="Times New Roman" w:eastAsia="仿宋_GB2312" w:cs="Times New Roman"/>
          <w:color w:val="000000"/>
          <w:sz w:val="32"/>
          <w:szCs w:val="32"/>
        </w:rPr>
        <w:t>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巨好办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平台为依托，全面深化县域数字化服务。横向拓展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一网通办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服务广度，将企业开办、不动产登记、医保社保等高频事项全流程接入，探索更多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免申即享</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服务。纵向构建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一网统管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体系，融合城管、交通、应急、生态环境等数据，实现对市政设施、公共安全、环境质量的实时监测与信息共享。深化平台在基层治理中的应用，用好人工智能技术手段，提升数据分析与管理调度能力，完善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网格员移动端上报—平台智能派单—部门限时处置—群众线上评价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闭环管理机制，确保群众诉求得到及时有效的回应，提升使用频率和响应效率。做强数字经济，引导县域小微企业、传统行业对接电商平台，加强本地电商人才引育，打造具有县域特色的电商产业链，促进数字经济与实体经济协同发展。</w:t>
      </w:r>
    </w:p>
    <w:p w14:paraId="0C74C2DF">
      <w:pPr>
        <w:pageBreakBefore w:val="0"/>
        <w:widowControl w:val="0"/>
        <w:kinsoku/>
        <w:wordWrap/>
        <w:overflowPunct/>
        <w:topLinePunct w:val="0"/>
        <w:autoSpaceDE/>
        <w:autoSpaceDN/>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三、加强精细管理。</w:t>
      </w:r>
      <w:r>
        <w:rPr>
          <w:rFonts w:hint="default" w:ascii="Times New Roman" w:hAnsi="Times New Roman" w:eastAsia="仿宋_GB2312" w:cs="Times New Roman"/>
          <w:color w:val="000000"/>
          <w:sz w:val="32"/>
          <w:szCs w:val="32"/>
        </w:rPr>
        <w:t>全面践行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精致城管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理念，需要下足</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绣花</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功夫，在细微处见真章。在环卫保洁上，积极推行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人工+机械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精细化联合作业模式，根据道路特点和人流量、车流量动态制定保洁方案，提升湿扫效果，做到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以克论净</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。在城市秩序管理上，严格落实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门前五包</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责任制，引导商户共同维护市容环境。针对占道经营难题，坚持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疏堵结合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柔性管理，科学设置疏导点、潮汐摊位或便民市场，引导流动商贩</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安家落户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、规范经营，让地摊经济在保留烟火气的同时更有序。对于学校周边等重点区域的交通拥堵问题，探索</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一校一策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治理方案，设立临时接送专区、协调错峰上下学、加强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护学岗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引导及合理规划</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潮汐车位</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等措施进行综合治理，保障道路安全通畅。在市政设施管护方面，充分发挥网格员的巡查作用，构建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巡查—上报—处置—反馈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的闭环工作机制，对道路、井盖、路灯等设施进行精细排查和状态监测，建立快速修复机制，确保设施安全隐患和运行故障能够被及时发现并高效处置，提升市政设施管护的智能化、精细化水平。</w:t>
      </w:r>
    </w:p>
    <w:p w14:paraId="1F3B0688">
      <w:pPr>
        <w:keepNext w:val="0"/>
        <w:keepLines w:val="0"/>
        <w:pageBreakBefore w:val="0"/>
        <w:widowControl w:val="0"/>
        <w:kinsoku/>
        <w:wordWrap/>
        <w:overflowPunct w:val="0"/>
        <w:topLinePunct w:val="0"/>
        <w:autoSpaceDE w:val="0"/>
        <w:autoSpaceDN w:val="0"/>
        <w:bidi w:val="0"/>
        <w:spacing w:line="570" w:lineRule="exact"/>
        <w:ind w:left="0"/>
        <w:contextualSpacing/>
        <w:jc w:val="center"/>
        <w:textAlignment w:val="auto"/>
        <w:outlineLvl w:val="0"/>
        <w:rPr>
          <w:rFonts w:hint="default" w:ascii="Times New Roman" w:hAnsi="Times New Roman" w:eastAsia="黑体" w:cs="Times New Roman"/>
          <w:bCs/>
          <w:color w:val="000000"/>
          <w:sz w:val="32"/>
          <w:szCs w:val="28"/>
        </w:rPr>
      </w:pPr>
      <w:bookmarkStart w:id="79" w:name="_Toc22931"/>
      <w:bookmarkStart w:id="80" w:name="_Toc23187"/>
      <w:r>
        <w:rPr>
          <w:rFonts w:hint="default" w:ascii="Times New Roman" w:hAnsi="Times New Roman" w:eastAsia="黑体" w:cs="Times New Roman"/>
          <w:b/>
          <w:color w:val="000000"/>
          <w:sz w:val="32"/>
          <w:szCs w:val="28"/>
        </w:rPr>
        <w:br w:type="page"/>
      </w:r>
      <w:r>
        <w:rPr>
          <w:rFonts w:hint="default" w:ascii="Times New Roman" w:hAnsi="Times New Roman" w:eastAsia="黑体" w:cs="Times New Roman"/>
          <w:bCs/>
          <w:color w:val="000000"/>
          <w:sz w:val="32"/>
          <w:szCs w:val="28"/>
        </w:rPr>
        <w:t>第八章</w:t>
      </w:r>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推进乡村全面振兴，加快建设宜居宜业和美乡村</w:t>
      </w:r>
      <w:bookmarkEnd w:id="79"/>
      <w:bookmarkEnd w:id="80"/>
    </w:p>
    <w:p w14:paraId="37E189A1">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坚持农业农村优先发展，实施和美乡村建设专项行动，千方百计推动农业增效益、农村增活力、农民增收入，争创全国乡村振兴示范县。</w:t>
      </w:r>
    </w:p>
    <w:p w14:paraId="25C83B9F">
      <w:pPr>
        <w:keepNext w:val="0"/>
        <w:keepLines w:val="0"/>
        <w:pageBreakBefore w:val="0"/>
        <w:widowControl w:val="0"/>
        <w:kinsoku/>
        <w:wordWrap/>
        <w:overflowPunct w:val="0"/>
        <w:topLinePunct w:val="0"/>
        <w:autoSpaceDE w:val="0"/>
        <w:autoSpaceDN w:val="0"/>
        <w:bidi w:val="0"/>
        <w:spacing w:line="570" w:lineRule="exact"/>
        <w:ind w:left="0"/>
        <w:contextualSpacing/>
        <w:jc w:val="center"/>
        <w:textAlignment w:val="auto"/>
        <w:outlineLvl w:val="1"/>
        <w:rPr>
          <w:rFonts w:hint="default" w:ascii="Times New Roman" w:hAnsi="Times New Roman" w:eastAsia="楷体" w:cs="Times New Roman"/>
          <w:b/>
          <w:color w:val="000000"/>
          <w:sz w:val="32"/>
          <w:szCs w:val="28"/>
        </w:rPr>
      </w:pPr>
      <w:bookmarkStart w:id="81" w:name="_Toc24467"/>
      <w:bookmarkStart w:id="82" w:name="_Toc22742"/>
      <w:r>
        <w:rPr>
          <w:rFonts w:hint="default" w:ascii="Times New Roman" w:hAnsi="Times New Roman" w:eastAsia="楷体" w:cs="Times New Roman"/>
          <w:b/>
          <w:color w:val="000000"/>
          <w:sz w:val="32"/>
          <w:szCs w:val="28"/>
        </w:rPr>
        <w:t>第一节 增强粮食等重要农产品供给保障能力</w:t>
      </w:r>
      <w:bookmarkEnd w:id="81"/>
      <w:bookmarkEnd w:id="82"/>
    </w:p>
    <w:p w14:paraId="3F11F95B">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一、筑牢粮食稳产保供基础。</w:t>
      </w:r>
      <w:r>
        <w:rPr>
          <w:rFonts w:hint="default" w:ascii="Times New Roman" w:hAnsi="Times New Roman" w:eastAsia="仿宋_GB2312" w:cs="Times New Roman"/>
          <w:color w:val="000000"/>
          <w:sz w:val="32"/>
          <w:szCs w:val="32"/>
        </w:rPr>
        <w:t>持续整治违法乱占耕地问题，保障耕地安全，牢固树立大食物观，深入落实藏粮于地、藏粮于技战略，坚决扛稳粮食供给安全责任，落实耕地保护党政同责，扎实推进稳粮保供、促产增收、提质增效，确保粮食播种面积稳定在60万亩以上。实施耕地质量提升行动，推广保护性耕作、秸秆还田、增施有机肥、测土配方施肥等技术，稳步提高土壤有机质含量。实施农业科技创新工程，大力推广社会化服务，推进良田良种良机良法集成增效，到</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末，粮食产量稳定在4.58亿斤以上。</w:t>
      </w:r>
    </w:p>
    <w:p w14:paraId="5609BA29">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二、完善农产品综合供给保障能力。</w:t>
      </w:r>
      <w:r>
        <w:rPr>
          <w:rFonts w:hint="default" w:ascii="Times New Roman" w:hAnsi="Times New Roman" w:eastAsia="仿宋_GB2312" w:cs="Times New Roman"/>
          <w:color w:val="000000"/>
          <w:sz w:val="32"/>
          <w:szCs w:val="32"/>
        </w:rPr>
        <w:t>坚持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绿色、高产、优质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发展理念，推动禽畜养殖标准化发展，积极打造无抗养殖小区，促进传统禽畜养殖生态化、规模化、标准化发展。加强生猪产能调控，实施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奶业振兴</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工程，稳定肉、蛋、奶生产供应，到</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稳定生猪年出栏10万头以上，肉、蛋、奶产量分别达到2.8万吨、1.3万吨、3600吨以上。深耕哈口果蔬特色优势，聚力推广现代设施蔬菜种植，以标准化大棚为载体，赋能水肥一体、智能温控等核心技术，筑牢哈口蔬菜绿色认证、名牌品质根基，打造集良种培育、智慧种植、绿色产出、产销一体的现代设施农业示范基地，到</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末，全县蔬菜种植面积稳定在5万亩左右。</w:t>
      </w:r>
    </w:p>
    <w:p w14:paraId="1F7F33EB">
      <w:pPr>
        <w:keepNext w:val="0"/>
        <w:keepLines w:val="0"/>
        <w:pageBreakBefore w:val="0"/>
        <w:widowControl w:val="0"/>
        <w:kinsoku/>
        <w:wordWrap/>
        <w:overflowPunct w:val="0"/>
        <w:topLinePunct w:val="0"/>
        <w:autoSpaceDE w:val="0"/>
        <w:autoSpaceDN w:val="0"/>
        <w:bidi w:val="0"/>
        <w:spacing w:line="570" w:lineRule="exact"/>
        <w:ind w:left="0"/>
        <w:contextualSpacing/>
        <w:jc w:val="center"/>
        <w:textAlignment w:val="auto"/>
        <w:outlineLvl w:val="1"/>
        <w:rPr>
          <w:rFonts w:hint="default" w:ascii="Times New Roman" w:hAnsi="Times New Roman" w:eastAsia="楷体" w:cs="Times New Roman"/>
          <w:b/>
          <w:color w:val="000000"/>
          <w:sz w:val="32"/>
          <w:szCs w:val="28"/>
        </w:rPr>
      </w:pPr>
      <w:bookmarkStart w:id="83" w:name="_Toc347"/>
      <w:bookmarkStart w:id="84" w:name="_Toc1006"/>
      <w:r>
        <w:rPr>
          <w:rFonts w:hint="default" w:ascii="Times New Roman" w:hAnsi="Times New Roman" w:eastAsia="楷体" w:cs="Times New Roman"/>
          <w:b/>
          <w:color w:val="000000"/>
          <w:sz w:val="32"/>
          <w:szCs w:val="28"/>
        </w:rPr>
        <w:t>第二节 持续巩固拓展脱贫攻坚成果</w:t>
      </w:r>
      <w:bookmarkEnd w:id="83"/>
      <w:bookmarkEnd w:id="84"/>
    </w:p>
    <w:p w14:paraId="506704D0">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一、筑牢不发生规模性返贫底线。</w:t>
      </w:r>
      <w:r>
        <w:rPr>
          <w:rFonts w:hint="default" w:ascii="Times New Roman" w:hAnsi="Times New Roman" w:eastAsia="仿宋_GB2312" w:cs="Times New Roman"/>
          <w:color w:val="000000"/>
          <w:sz w:val="32"/>
          <w:szCs w:val="32"/>
        </w:rPr>
        <w:t>完善城乡防贫监测帮扶机制，对脱贫不稳定户、边缘易致贫户、突发严重困难户（含因病因灾因意外事故等）实施动态监测，重点关注收入骤减、支出骤增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两类群体</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；健全分类帮扶制度，针对监测对象制定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一户一策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帮扶方案，区分风险类型（产业失败、失业、疾病、灾害等），综合运用产业奖补、就业援助、医疗救助、临时救助、兜底保障等措施，确保早发现、早干预、早帮扶，守牢不发生规模性返贫致贫底线。</w:t>
      </w:r>
    </w:p>
    <w:p w14:paraId="46BF5026">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二、持续落实产业就业帮扶措施。</w:t>
      </w:r>
      <w:r>
        <w:rPr>
          <w:rFonts w:hint="default" w:ascii="Times New Roman" w:hAnsi="Times New Roman" w:eastAsia="仿宋_GB2312" w:cs="Times New Roman"/>
          <w:color w:val="000000"/>
          <w:sz w:val="32"/>
          <w:szCs w:val="32"/>
        </w:rPr>
        <w:t>积极培育乡村特色产业，立足县域资源禀赋，积极培育金银花、高油酸花生、张杂谷、杏等乡村特色产业。通过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企业+合作社+农户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小农户+社会化服务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模式，完善联农带农机制，让脱贫群众通过土地入股、订单种植、务工就业分享收益，由村集体领办农机、植保、烘干等合作社，为小农户提供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一站式</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服务，激发群众内生动力。对脱贫攻坚以来形成的扶贫项目资产进行全面清产核资，明确所有权、经营权、收益权，确保长期发挥效益。针对脱贫劳动力开展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菜单式</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职业技能培训，联合企业定向培养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土专家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田秀才</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。通过省内外劳务协作、县域内企业吸纳、公益性岗位托底等方式，确保有劳动能力的脱贫家庭至少1人稳定就业，稳定增收。</w:t>
      </w:r>
    </w:p>
    <w:p w14:paraId="2CFE0C43">
      <w:pPr>
        <w:keepNext w:val="0"/>
        <w:keepLines w:val="0"/>
        <w:pageBreakBefore w:val="0"/>
        <w:widowControl w:val="0"/>
        <w:kinsoku/>
        <w:wordWrap/>
        <w:overflowPunct w:val="0"/>
        <w:topLinePunct w:val="0"/>
        <w:autoSpaceDE w:val="0"/>
        <w:autoSpaceDN w:val="0"/>
        <w:bidi w:val="0"/>
        <w:spacing w:line="570" w:lineRule="exact"/>
        <w:ind w:left="0"/>
        <w:contextualSpacing/>
        <w:jc w:val="center"/>
        <w:textAlignment w:val="auto"/>
        <w:outlineLvl w:val="1"/>
        <w:rPr>
          <w:rFonts w:hint="default" w:ascii="Times New Roman" w:hAnsi="Times New Roman" w:eastAsia="楷体" w:cs="Times New Roman"/>
          <w:b/>
          <w:color w:val="000000"/>
          <w:sz w:val="32"/>
          <w:szCs w:val="28"/>
        </w:rPr>
      </w:pPr>
      <w:bookmarkStart w:id="85" w:name="_Toc12783"/>
      <w:bookmarkStart w:id="86" w:name="_Toc30746"/>
      <w:r>
        <w:rPr>
          <w:rFonts w:hint="default" w:ascii="Times New Roman" w:hAnsi="Times New Roman" w:eastAsia="楷体" w:cs="Times New Roman"/>
          <w:b/>
          <w:color w:val="000000"/>
          <w:sz w:val="32"/>
          <w:szCs w:val="28"/>
        </w:rPr>
        <w:t>第三节 加快壮大特色产业</w:t>
      </w:r>
      <w:bookmarkEnd w:id="85"/>
      <w:bookmarkEnd w:id="86"/>
    </w:p>
    <w:p w14:paraId="02CC5AE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0" w:lineRule="exact"/>
        <w:ind w:left="0" w:leftChars="0" w:firstLine="640" w:firstLineChars="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kern w:val="2"/>
          <w:sz w:val="32"/>
          <w:szCs w:val="32"/>
          <w:lang w:val="en-US" w:eastAsia="zh-CN" w:bidi="ar-SA"/>
        </w:rPr>
        <w:t>一、</w:t>
      </w:r>
      <w:r>
        <w:rPr>
          <w:rFonts w:hint="default" w:ascii="Times New Roman" w:hAnsi="Times New Roman" w:eastAsia="仿宋_GB2312" w:cs="Times New Roman"/>
          <w:b/>
          <w:color w:val="000000"/>
          <w:sz w:val="32"/>
          <w:szCs w:val="32"/>
        </w:rPr>
        <w:t>持续推进金银花产业提质</w:t>
      </w:r>
    </w:p>
    <w:p w14:paraId="083A33CB">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1.加强种质资源培育，</w:t>
      </w:r>
      <w:r>
        <w:rPr>
          <w:rFonts w:hint="default" w:ascii="Times New Roman" w:hAnsi="Times New Roman" w:eastAsia="仿宋_GB2312" w:cs="Times New Roman"/>
          <w:color w:val="000000"/>
          <w:sz w:val="32"/>
          <w:szCs w:val="32"/>
        </w:rPr>
        <w:t>开展金银花种质资源保护与良种选育，抓好种质资源收集、鉴定与评价，建立种质资源库和标准化育苗基地，选育抗逆性强、药用成分含量高、适宜本地气候的优良新品种，从源头提升产业竞争力。加快推广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六统一</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管理模式，用好智能监测等智慧农业技术，打造集生产、生态、观光于一体的高标准金银花示范基地。</w:t>
      </w:r>
    </w:p>
    <w:p w14:paraId="08EBCB98">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2.大力发展金银花精深加工</w:t>
      </w:r>
      <w:r>
        <w:rPr>
          <w:rFonts w:hint="default" w:ascii="Times New Roman" w:hAnsi="Times New Roman" w:eastAsia="仿宋_GB2312" w:cs="Times New Roman"/>
          <w:color w:val="000000"/>
          <w:sz w:val="32"/>
          <w:szCs w:val="32"/>
        </w:rPr>
        <w:t>，依托与河北省科学院巨鹿应用技术研究院等高校院所和以岭药业、广药集团等大型企业的深度合作，重点攻关金银花有效成分的高效提取、纯化技术，开展药效机理研究和新产品开发，推动科技成果就地转化。扶持龙头企业建设、升级清洁化、自动化烘干车间和精深加工生产线，推动精深加工向产地就近布局，鼓励企业开发面向大健康市场的特色饮品、保健食品、日化用品等高附加值产品，培育一批具有较高市场认可度的本地知名品牌。</w:t>
      </w:r>
    </w:p>
    <w:p w14:paraId="46EA8DFE">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3.推进金银花全产业链发展中心运营增效</w:t>
      </w:r>
      <w:r>
        <w:rPr>
          <w:rFonts w:hint="default" w:ascii="Times New Roman" w:hAnsi="Times New Roman" w:eastAsia="仿宋_GB2312" w:cs="Times New Roman"/>
          <w:color w:val="000000"/>
          <w:sz w:val="32"/>
          <w:szCs w:val="32"/>
        </w:rPr>
        <w:t>，探索建立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原料、设备、技术、物流、信息</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体共享的产业协同模式，加快打造集现货交易、电子商务、仓储物流、质量检测、价格发布、供应链金融于一体的全国金银花交易中心，建立权威的质量标准体系和可追溯体系，增强巨鹿金银花竞争力和话语权。</w:t>
      </w:r>
    </w:p>
    <w:p w14:paraId="27DDD5D9">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4.强化金银花品牌与市场推广。</w:t>
      </w:r>
      <w:r>
        <w:rPr>
          <w:rFonts w:hint="default" w:ascii="Times New Roman" w:hAnsi="Times New Roman" w:eastAsia="仿宋_GB2312" w:cs="Times New Roman"/>
          <w:color w:val="000000"/>
          <w:sz w:val="32"/>
          <w:szCs w:val="32"/>
        </w:rPr>
        <w:t>立足国家地理标志证明商标和全国百强区域公用品牌优势，加大宣传推广力度，叫响巨鹿金银花特色品牌。</w:t>
      </w:r>
    </w:p>
    <w:p w14:paraId="17C1CA82">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二、加快高油酸花生产业提升</w:t>
      </w:r>
    </w:p>
    <w:p w14:paraId="34219B69">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1.实施良种繁育工程。</w:t>
      </w:r>
      <w:r>
        <w:rPr>
          <w:rFonts w:hint="default" w:ascii="Times New Roman" w:hAnsi="Times New Roman" w:eastAsia="仿宋_GB2312" w:cs="Times New Roman"/>
          <w:color w:val="000000"/>
          <w:sz w:val="32"/>
          <w:szCs w:val="32"/>
        </w:rPr>
        <w:t>依托全省高油酸花生基地县优势，支持河北创富盈农业科技公司筛选适合本地的高油酸花生品种，开展品种适应性改良、高产攻关研究，建立良种繁育基地，保障种源纯正与供应稳定。</w:t>
      </w:r>
    </w:p>
    <w:p w14:paraId="394B1880">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2.实施扩规提质工程。</w:t>
      </w:r>
      <w:r>
        <w:rPr>
          <w:rFonts w:hint="default" w:ascii="Times New Roman" w:hAnsi="Times New Roman" w:eastAsia="仿宋_GB2312" w:cs="Times New Roman"/>
          <w:color w:val="000000"/>
          <w:sz w:val="32"/>
          <w:szCs w:val="32"/>
        </w:rPr>
        <w:t>推进积极争取优质花生优势特色产业集群续建项目，加快推进高油酸花生种植基地建设，推广标准种植和订单农业，到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末高油酸花生种植规模发展到10万亩以上。</w:t>
      </w:r>
    </w:p>
    <w:p w14:paraId="3310F39F">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3.实施龙头引领工程。</w:t>
      </w:r>
      <w:r>
        <w:rPr>
          <w:rFonts w:hint="default" w:ascii="Times New Roman" w:hAnsi="Times New Roman" w:eastAsia="仿宋_GB2312" w:cs="Times New Roman"/>
          <w:color w:val="000000"/>
          <w:sz w:val="32"/>
          <w:szCs w:val="32"/>
        </w:rPr>
        <w:t>引导倍倍香等龙头企业扩规增产，持续延展以健康油脂精深加工、花生休闲食品为代表的高附加值产品矩阵，重点谋划实施花生蛋白提取、花生红衣综合利用两个精深加工项目。同时，积极招引精深加工企业和上下游配套企业，延长产业链、价值链，提升产业规模、质量和效益。</w:t>
      </w:r>
    </w:p>
    <w:p w14:paraId="2200DC59">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4.实施品牌培育工程。</w:t>
      </w:r>
      <w:r>
        <w:rPr>
          <w:rFonts w:hint="default" w:ascii="Times New Roman" w:hAnsi="Times New Roman" w:eastAsia="仿宋_GB2312" w:cs="Times New Roman"/>
          <w:color w:val="000000"/>
          <w:sz w:val="32"/>
          <w:szCs w:val="32"/>
        </w:rPr>
        <w:t>积极申报国家地理标志、开展绿色认证，推动高油酸花生油等特色产品提品质、扩市场、创品牌，提升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巨鹿高油酸花生</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品牌影响力，打造巨鹿农特产品金字招牌。</w:t>
      </w:r>
    </w:p>
    <w:p w14:paraId="345072CE">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三、推动张杂谷产业做大做强</w:t>
      </w:r>
    </w:p>
    <w:p w14:paraId="632AEBB9">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通过政策引导、技术培训、产销对接三位一体的模式，建设</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张杂谷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良种试验示范基地，重点推广早熟高抗型张杂谷23号等优良品种提升龙头企业带动能力，以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地域特色+品质认证+标准化生产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为抓手，着力打造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巨鹿小米</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区域公共品牌，搭建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商超专柜+电商旗舰店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+订单农业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三维销售渠道，带动农户实现亩均增收300—500元，为乡村产业振兴注入持久动力，推动农民持续增收与区域农业高质量发展深度融合，到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末张杂谷种植规模发展到3万亩以上。</w:t>
      </w:r>
    </w:p>
    <w:p w14:paraId="31F2E8E9">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四、因地制宜发展特色农业</w:t>
      </w:r>
    </w:p>
    <w:p w14:paraId="2AAB6A9F">
      <w:pPr>
        <w:keepNext w:val="0"/>
        <w:keepLines w:val="0"/>
        <w:pageBreakBefore w:val="0"/>
        <w:widowControl w:val="0"/>
        <w:kinsoku/>
        <w:wordWrap/>
        <w:overflowPunct w:val="0"/>
        <w:topLinePunct w:val="0"/>
        <w:autoSpaceDE w:val="0"/>
        <w:autoSpaceDN w:val="0"/>
        <w:bidi w:val="0"/>
        <w:adjustRightInd w:val="0"/>
        <w:snapToGrid w:val="0"/>
        <w:spacing w:line="570" w:lineRule="exact"/>
        <w:ind w:left="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根据资源禀赋和产业基础，把特色农业作为助推群众增收致富的主要产业来培育，鼓励发展杏、菊花、设施果蔬等特色农业产业，建设一批特色产业基地，引导形成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一村一品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，加快产业龙头企业培育、品牌创建、市场开拓，积极推动特色农业产业全链条发展。深入挖掘推广巨鹿苦枸杞在药用方面价值，鼓励巨鹿镇、阎疃镇等乡镇整合发展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中华枸杞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标准化育苗基地和种植示范基地，通过引进初深加工企业、打造集散基地等路径，多层次恢复重振巨鹿县枸杞之乡影响力，把</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巨鹿三宝</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再次叫响。</w:t>
      </w:r>
    </w:p>
    <w:tbl>
      <w:tblPr>
        <w:tblStyle w:val="18"/>
        <w:tblW w:w="4839" w:type="pct"/>
        <w:jc w:val="center"/>
        <w:tblLayout w:type="autofit"/>
        <w:tblCellMar>
          <w:top w:w="0" w:type="dxa"/>
          <w:left w:w="108" w:type="dxa"/>
          <w:bottom w:w="0" w:type="dxa"/>
          <w:right w:w="108" w:type="dxa"/>
        </w:tblCellMar>
      </w:tblPr>
      <w:tblGrid>
        <w:gridCol w:w="8768"/>
      </w:tblGrid>
      <w:tr w14:paraId="550B15A2">
        <w:tblPrEx>
          <w:tblCellMar>
            <w:top w:w="0" w:type="dxa"/>
            <w:left w:w="108" w:type="dxa"/>
            <w:bottom w:w="0" w:type="dxa"/>
            <w:right w:w="108" w:type="dxa"/>
          </w:tblCellMar>
        </w:tblPrEx>
        <w:trPr>
          <w:trHeight w:val="624" w:hRule="atLeast"/>
          <w:jc w:val="center"/>
        </w:trPr>
        <w:tc>
          <w:tcPr>
            <w:tcW w:w="5000" w:type="pct"/>
            <w:tcBorders>
              <w:top w:val="single" w:color="000000" w:sz="4" w:space="0"/>
              <w:left w:val="single" w:color="000000" w:sz="4" w:space="0"/>
              <w:bottom w:val="single" w:color="auto" w:sz="4" w:space="0"/>
              <w:right w:val="single" w:color="000000" w:sz="4" w:space="0"/>
            </w:tcBorders>
            <w:noWrap/>
            <w:vAlign w:val="center"/>
          </w:tcPr>
          <w:p w14:paraId="6D4BD0DC">
            <w:pPr>
              <w:jc w:val="center"/>
              <w:rPr>
                <w:rFonts w:hint="default" w:ascii="Times New Roman" w:hAnsi="Times New Roman" w:eastAsia="楷体" w:cs="Times New Roman"/>
                <w:b/>
                <w:bCs/>
                <w:color w:val="000000"/>
                <w:sz w:val="28"/>
                <w:szCs w:val="28"/>
              </w:rPr>
            </w:pPr>
            <w:r>
              <w:rPr>
                <w:rFonts w:hint="default" w:ascii="Times New Roman" w:hAnsi="Times New Roman" w:eastAsia="楷体" w:cs="Times New Roman"/>
                <w:b/>
                <w:bCs/>
                <w:color w:val="000000"/>
                <w:sz w:val="28"/>
                <w:szCs w:val="28"/>
              </w:rPr>
              <w:t>专栏8-1  粮食安全与农业特色产业项目</w:t>
            </w:r>
          </w:p>
        </w:tc>
      </w:tr>
      <w:tr w14:paraId="3721C319">
        <w:tblPrEx>
          <w:tblCellMar>
            <w:top w:w="0" w:type="dxa"/>
            <w:left w:w="108" w:type="dxa"/>
            <w:bottom w:w="0" w:type="dxa"/>
            <w:right w:w="108" w:type="dxa"/>
          </w:tblCellMar>
        </w:tblPrEx>
        <w:trPr>
          <w:trHeight w:val="582" w:hRule="atLeast"/>
          <w:jc w:val="center"/>
        </w:trPr>
        <w:tc>
          <w:tcPr>
            <w:tcW w:w="5000" w:type="pct"/>
            <w:tcBorders>
              <w:top w:val="single" w:color="auto" w:sz="4" w:space="0"/>
              <w:left w:val="single" w:color="auto" w:sz="4" w:space="0"/>
              <w:bottom w:val="single" w:color="auto" w:sz="4" w:space="0"/>
              <w:right w:val="single" w:color="auto" w:sz="4" w:space="0"/>
            </w:tcBorders>
            <w:noWrap/>
            <w:vAlign w:val="center"/>
          </w:tcPr>
          <w:p w14:paraId="0513F9FD">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w:t>
            </w:r>
            <w:r>
              <w:rPr>
                <w:rFonts w:hint="default" w:ascii="Times New Roman" w:hAnsi="Times New Roman" w:eastAsia="仿宋" w:cs="Times New Roman"/>
                <w:color w:val="auto"/>
                <w:sz w:val="24"/>
                <w:szCs w:val="24"/>
                <w:shd w:val="clear" w:color="auto" w:fill="FFFFFF"/>
              </w:rPr>
              <w:t>高标准农田改造提升项目</w:t>
            </w:r>
          </w:p>
          <w:p w14:paraId="7128794F">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2.</w:t>
            </w:r>
            <w:r>
              <w:rPr>
                <w:rFonts w:hint="default" w:ascii="Times New Roman" w:hAnsi="Times New Roman" w:eastAsia="仿宋" w:cs="Times New Roman"/>
                <w:color w:val="auto"/>
                <w:sz w:val="24"/>
                <w:szCs w:val="24"/>
                <w:shd w:val="clear" w:color="auto" w:fill="FFFFFF"/>
              </w:rPr>
              <w:t>农业科技创新工程</w:t>
            </w:r>
          </w:p>
          <w:p w14:paraId="39F18909">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3.</w:t>
            </w:r>
            <w:r>
              <w:rPr>
                <w:rFonts w:hint="default" w:ascii="Times New Roman" w:hAnsi="Times New Roman" w:eastAsia="仿宋" w:cs="Times New Roman"/>
                <w:color w:val="auto"/>
                <w:sz w:val="24"/>
                <w:szCs w:val="24"/>
                <w:shd w:val="clear" w:color="auto" w:fill="FFFFFF"/>
              </w:rPr>
              <w:t>耕地质量提升行动</w:t>
            </w:r>
          </w:p>
          <w:p w14:paraId="2D5FF506">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4.</w:t>
            </w:r>
            <w:r>
              <w:rPr>
                <w:rFonts w:hint="default" w:ascii="Times New Roman" w:hAnsi="Times New Roman" w:eastAsia="仿宋" w:cs="Times New Roman"/>
                <w:color w:val="auto"/>
                <w:sz w:val="24"/>
                <w:szCs w:val="24"/>
                <w:shd w:val="clear" w:color="auto" w:fill="FFFFFF"/>
              </w:rPr>
              <w:t>无抗养殖小区</w:t>
            </w:r>
          </w:p>
          <w:p w14:paraId="683CD2CC">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5.</w:t>
            </w:r>
            <w:r>
              <w:rPr>
                <w:rFonts w:hint="eastAsia" w:ascii="Times New Roman" w:hAnsi="Times New Roman" w:eastAsia="仿宋" w:cs="Times New Roman"/>
                <w:color w:val="auto"/>
                <w:sz w:val="24"/>
                <w:szCs w:val="24"/>
                <w:shd w:val="clear" w:color="auto" w:fill="FFFFFF"/>
                <w:lang w:eastAsia="zh-CN"/>
              </w:rPr>
              <w:t>“</w:t>
            </w:r>
            <w:r>
              <w:rPr>
                <w:rFonts w:hint="default" w:ascii="Times New Roman" w:hAnsi="Times New Roman" w:eastAsia="仿宋" w:cs="Times New Roman"/>
                <w:color w:val="auto"/>
                <w:sz w:val="24"/>
                <w:szCs w:val="24"/>
                <w:shd w:val="clear" w:color="auto" w:fill="FFFFFF"/>
              </w:rPr>
              <w:t>奶业振兴</w:t>
            </w:r>
            <w:r>
              <w:rPr>
                <w:rFonts w:hint="eastAsia" w:ascii="Times New Roman" w:hAnsi="Times New Roman" w:eastAsia="仿宋" w:cs="Times New Roman"/>
                <w:color w:val="auto"/>
                <w:sz w:val="24"/>
                <w:szCs w:val="24"/>
                <w:shd w:val="clear" w:color="auto" w:fill="FFFFFF"/>
                <w:lang w:eastAsia="zh-CN"/>
              </w:rPr>
              <w:t>”</w:t>
            </w:r>
            <w:r>
              <w:rPr>
                <w:rFonts w:hint="default" w:ascii="Times New Roman" w:hAnsi="Times New Roman" w:eastAsia="仿宋" w:cs="Times New Roman"/>
                <w:color w:val="auto"/>
                <w:sz w:val="24"/>
                <w:szCs w:val="24"/>
                <w:shd w:val="clear" w:color="auto" w:fill="FFFFFF"/>
              </w:rPr>
              <w:t>工程</w:t>
            </w:r>
          </w:p>
          <w:p w14:paraId="39ACDD09">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6.</w:t>
            </w:r>
            <w:r>
              <w:rPr>
                <w:rFonts w:hint="default" w:ascii="Times New Roman" w:hAnsi="Times New Roman" w:eastAsia="仿宋" w:cs="Times New Roman"/>
                <w:color w:val="auto"/>
                <w:sz w:val="24"/>
                <w:szCs w:val="24"/>
                <w:shd w:val="clear" w:color="auto" w:fill="FFFFFF"/>
              </w:rPr>
              <w:t>现代设施农业示范基地</w:t>
            </w:r>
          </w:p>
          <w:p w14:paraId="31E44B30">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7.</w:t>
            </w:r>
            <w:r>
              <w:rPr>
                <w:rFonts w:hint="default" w:ascii="Times New Roman" w:hAnsi="Times New Roman" w:eastAsia="仿宋" w:cs="Times New Roman"/>
                <w:color w:val="auto"/>
                <w:sz w:val="24"/>
                <w:szCs w:val="24"/>
                <w:shd w:val="clear" w:color="auto" w:fill="FFFFFF"/>
              </w:rPr>
              <w:t>高标准金银花示范基地</w:t>
            </w:r>
          </w:p>
          <w:p w14:paraId="2B6E1658">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8.</w:t>
            </w:r>
            <w:r>
              <w:rPr>
                <w:rFonts w:hint="default" w:ascii="Times New Roman" w:hAnsi="Times New Roman" w:eastAsia="仿宋" w:cs="Times New Roman"/>
                <w:color w:val="auto"/>
                <w:sz w:val="24"/>
                <w:szCs w:val="24"/>
                <w:shd w:val="clear" w:color="auto" w:fill="FFFFFF"/>
                <w:lang w:eastAsia="zh-CN"/>
              </w:rPr>
              <w:t>巨鹿县</w:t>
            </w:r>
            <w:r>
              <w:rPr>
                <w:rFonts w:hint="eastAsia" w:ascii="Times New Roman" w:hAnsi="Times New Roman" w:eastAsia="仿宋" w:cs="Times New Roman"/>
                <w:color w:val="auto"/>
                <w:sz w:val="24"/>
                <w:szCs w:val="24"/>
                <w:shd w:val="clear" w:color="auto" w:fill="FFFFFF"/>
                <w:lang w:eastAsia="zh-CN"/>
              </w:rPr>
              <w:t>“</w:t>
            </w:r>
            <w:r>
              <w:rPr>
                <w:rFonts w:hint="default" w:ascii="Times New Roman" w:hAnsi="Times New Roman" w:eastAsia="仿宋" w:cs="Times New Roman"/>
                <w:color w:val="auto"/>
                <w:sz w:val="24"/>
                <w:szCs w:val="24"/>
                <w:shd w:val="clear" w:color="auto" w:fill="FFFFFF"/>
                <w:lang w:eastAsia="zh-CN"/>
              </w:rPr>
              <w:t>中华枸杞</w:t>
            </w:r>
            <w:r>
              <w:rPr>
                <w:rFonts w:hint="eastAsia" w:ascii="Times New Roman" w:hAnsi="Times New Roman" w:eastAsia="仿宋" w:cs="Times New Roman"/>
                <w:color w:val="auto"/>
                <w:sz w:val="24"/>
                <w:szCs w:val="24"/>
                <w:shd w:val="clear" w:color="auto" w:fill="FFFFFF"/>
                <w:lang w:eastAsia="zh-CN"/>
              </w:rPr>
              <w:t>”</w:t>
            </w:r>
            <w:r>
              <w:rPr>
                <w:rFonts w:hint="default" w:ascii="Times New Roman" w:hAnsi="Times New Roman" w:eastAsia="仿宋" w:cs="Times New Roman"/>
                <w:color w:val="auto"/>
                <w:sz w:val="24"/>
                <w:szCs w:val="24"/>
                <w:shd w:val="clear" w:color="auto" w:fill="FFFFFF"/>
                <w:lang w:eastAsia="zh-CN"/>
              </w:rPr>
              <w:t>标准化种植基地</w:t>
            </w:r>
          </w:p>
          <w:p w14:paraId="59C2D279">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9.</w:t>
            </w:r>
            <w:r>
              <w:rPr>
                <w:rFonts w:hint="default" w:ascii="Times New Roman" w:hAnsi="Times New Roman" w:eastAsia="仿宋" w:cs="Times New Roman"/>
                <w:color w:val="auto"/>
                <w:sz w:val="24"/>
                <w:szCs w:val="24"/>
                <w:shd w:val="clear" w:color="auto" w:fill="FFFFFF"/>
                <w:lang w:eastAsia="zh-CN"/>
              </w:rPr>
              <w:t>巨鹿县枸杞古树种质资源保护库项目</w:t>
            </w:r>
          </w:p>
          <w:p w14:paraId="3D368AA8">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10.</w:t>
            </w:r>
            <w:r>
              <w:rPr>
                <w:rFonts w:hint="default" w:ascii="Times New Roman" w:hAnsi="Times New Roman" w:eastAsia="仿宋" w:cs="Times New Roman"/>
                <w:color w:val="auto"/>
                <w:sz w:val="24"/>
                <w:szCs w:val="24"/>
                <w:shd w:val="clear" w:color="auto" w:fill="FFFFFF"/>
                <w:lang w:eastAsia="zh-CN"/>
              </w:rPr>
              <w:t>巨鹿县枸杞新品种试验示范园</w:t>
            </w:r>
          </w:p>
          <w:p w14:paraId="4114E421">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11.</w:t>
            </w:r>
            <w:r>
              <w:rPr>
                <w:rFonts w:hint="default" w:ascii="Times New Roman" w:hAnsi="Times New Roman" w:eastAsia="仿宋" w:cs="Times New Roman"/>
                <w:color w:val="auto"/>
                <w:sz w:val="24"/>
                <w:szCs w:val="24"/>
                <w:shd w:val="clear" w:color="auto" w:fill="FFFFFF"/>
                <w:lang w:eastAsia="zh-CN"/>
              </w:rPr>
              <w:t>巨鹿县枸杞种植系统综合展示基地</w:t>
            </w:r>
          </w:p>
          <w:p w14:paraId="2BA173F4">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12.</w:t>
            </w:r>
            <w:r>
              <w:rPr>
                <w:rFonts w:hint="default" w:ascii="Times New Roman" w:hAnsi="Times New Roman" w:eastAsia="仿宋" w:cs="Times New Roman"/>
                <w:color w:val="auto"/>
                <w:sz w:val="24"/>
                <w:szCs w:val="24"/>
                <w:shd w:val="clear" w:color="auto" w:fill="FFFFFF"/>
                <w:lang w:eastAsia="zh-CN"/>
              </w:rPr>
              <w:t>巨鹿县道地枸杞标准化种植基地</w:t>
            </w:r>
          </w:p>
          <w:p w14:paraId="2828C85B">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13.</w:t>
            </w:r>
            <w:r>
              <w:rPr>
                <w:rFonts w:hint="default" w:ascii="Times New Roman" w:hAnsi="Times New Roman" w:eastAsia="仿宋" w:cs="Times New Roman"/>
                <w:color w:val="auto"/>
                <w:sz w:val="24"/>
                <w:szCs w:val="24"/>
                <w:shd w:val="clear" w:color="auto" w:fill="FFFFFF"/>
              </w:rPr>
              <w:t>高油酸花生良种繁育与种植基地项目</w:t>
            </w:r>
          </w:p>
          <w:p w14:paraId="71E89B03">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14．</w:t>
            </w:r>
            <w:r>
              <w:rPr>
                <w:rFonts w:hint="default" w:ascii="Times New Roman" w:hAnsi="Times New Roman" w:eastAsia="仿宋" w:cs="Times New Roman"/>
                <w:color w:val="auto"/>
                <w:sz w:val="24"/>
                <w:szCs w:val="24"/>
                <w:shd w:val="clear" w:color="auto" w:fill="FFFFFF"/>
              </w:rPr>
              <w:t>高油酸花生良种繁育项目</w:t>
            </w:r>
          </w:p>
          <w:p w14:paraId="56C0243B">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15．</w:t>
            </w:r>
            <w:r>
              <w:rPr>
                <w:rFonts w:hint="eastAsia" w:ascii="Times New Roman" w:hAnsi="Times New Roman" w:eastAsia="仿宋" w:cs="Times New Roman"/>
                <w:color w:val="auto"/>
                <w:sz w:val="24"/>
                <w:szCs w:val="24"/>
                <w:shd w:val="clear" w:color="auto" w:fill="FFFFFF"/>
                <w:lang w:eastAsia="zh-CN"/>
              </w:rPr>
              <w:t>“</w:t>
            </w:r>
            <w:r>
              <w:rPr>
                <w:rFonts w:hint="default" w:ascii="Times New Roman" w:hAnsi="Times New Roman" w:eastAsia="仿宋" w:cs="Times New Roman"/>
                <w:color w:val="auto"/>
                <w:sz w:val="24"/>
                <w:szCs w:val="24"/>
                <w:shd w:val="clear" w:color="auto" w:fill="FFFFFF"/>
              </w:rPr>
              <w:t>张杂谷</w:t>
            </w:r>
            <w:r>
              <w:rPr>
                <w:rFonts w:hint="eastAsia" w:ascii="Times New Roman" w:hAnsi="Times New Roman" w:eastAsia="仿宋" w:cs="Times New Roman"/>
                <w:color w:val="auto"/>
                <w:sz w:val="24"/>
                <w:szCs w:val="24"/>
                <w:shd w:val="clear" w:color="auto" w:fill="FFFFFF"/>
                <w:lang w:eastAsia="zh-CN"/>
              </w:rPr>
              <w:t>”</w:t>
            </w:r>
            <w:r>
              <w:rPr>
                <w:rFonts w:hint="default" w:ascii="Times New Roman" w:hAnsi="Times New Roman" w:eastAsia="仿宋" w:cs="Times New Roman"/>
                <w:color w:val="auto"/>
                <w:sz w:val="24"/>
                <w:szCs w:val="24"/>
                <w:shd w:val="clear" w:color="auto" w:fill="FFFFFF"/>
              </w:rPr>
              <w:t>良种试验示范基地</w:t>
            </w:r>
          </w:p>
          <w:p w14:paraId="04FA4F23">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16．</w:t>
            </w:r>
            <w:r>
              <w:rPr>
                <w:rFonts w:hint="default" w:ascii="Times New Roman" w:hAnsi="Times New Roman" w:eastAsia="仿宋" w:cs="Times New Roman"/>
                <w:color w:val="auto"/>
                <w:sz w:val="24"/>
                <w:szCs w:val="24"/>
                <w:shd w:val="clear" w:color="auto" w:fill="FFFFFF"/>
              </w:rPr>
              <w:t>金银花颗粒、金银花露生产项目</w:t>
            </w:r>
          </w:p>
          <w:p w14:paraId="6012E752">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17．</w:t>
            </w:r>
            <w:r>
              <w:rPr>
                <w:rFonts w:hint="default" w:ascii="Times New Roman" w:hAnsi="Times New Roman" w:eastAsia="仿宋" w:cs="Times New Roman"/>
                <w:color w:val="auto"/>
                <w:sz w:val="24"/>
                <w:szCs w:val="24"/>
                <w:shd w:val="clear" w:color="auto" w:fill="FFFFFF"/>
              </w:rPr>
              <w:t>金银花窨制花茶深加工项目</w:t>
            </w:r>
          </w:p>
          <w:p w14:paraId="41735D56">
            <w:pPr>
              <w:widowControl/>
              <w:numPr>
                <w:ilvl w:val="0"/>
                <w:numId w:val="0"/>
              </w:numPr>
              <w:spacing w:line="420" w:lineRule="exact"/>
              <w:ind w:firstLine="480" w:firstLineChars="200"/>
              <w:jc w:val="left"/>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18．</w:t>
            </w:r>
            <w:r>
              <w:rPr>
                <w:rFonts w:hint="default" w:ascii="Times New Roman" w:hAnsi="Times New Roman" w:eastAsia="仿宋" w:cs="Times New Roman"/>
                <w:color w:val="auto"/>
                <w:sz w:val="24"/>
                <w:szCs w:val="24"/>
                <w:shd w:val="clear" w:color="auto" w:fill="FFFFFF"/>
              </w:rPr>
              <w:t>花生蛋白提取精深加工项目</w:t>
            </w:r>
          </w:p>
          <w:p w14:paraId="2DE7E5E2">
            <w:pPr>
              <w:widowControl/>
              <w:numPr>
                <w:ilvl w:val="0"/>
                <w:numId w:val="0"/>
              </w:numPr>
              <w:spacing w:line="420" w:lineRule="exact"/>
              <w:ind w:firstLine="480" w:firstLineChars="200"/>
              <w:jc w:val="left"/>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auto"/>
                <w:kern w:val="2"/>
                <w:sz w:val="24"/>
                <w:szCs w:val="24"/>
                <w:shd w:val="clear" w:color="auto" w:fill="FFFFFF"/>
                <w:lang w:val="en-US" w:eastAsia="zh-CN" w:bidi="ar-SA"/>
              </w:rPr>
              <w:t>19．</w:t>
            </w:r>
            <w:r>
              <w:rPr>
                <w:rFonts w:hint="default" w:ascii="Times New Roman" w:hAnsi="Times New Roman" w:eastAsia="仿宋" w:cs="Times New Roman"/>
                <w:color w:val="auto"/>
                <w:sz w:val="24"/>
                <w:szCs w:val="24"/>
                <w:shd w:val="clear" w:color="auto" w:fill="FFFFFF"/>
              </w:rPr>
              <w:t>花生红衣综合利用精深加工项目</w:t>
            </w:r>
          </w:p>
        </w:tc>
      </w:tr>
    </w:tbl>
    <w:p w14:paraId="579930A3">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87" w:name="_Toc29771"/>
      <w:bookmarkStart w:id="88" w:name="_Toc23614"/>
      <w:r>
        <w:rPr>
          <w:rFonts w:hint="default" w:ascii="Times New Roman" w:hAnsi="Times New Roman" w:eastAsia="楷体" w:cs="Times New Roman"/>
          <w:b/>
          <w:color w:val="000000"/>
          <w:sz w:val="32"/>
          <w:szCs w:val="28"/>
        </w:rPr>
        <w:t>第四节 高水平推进和美乡村建设</w:t>
      </w:r>
      <w:bookmarkEnd w:id="87"/>
      <w:bookmarkEnd w:id="88"/>
    </w:p>
    <w:p w14:paraId="7F031F8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一、实施农村生态环境治理工程</w:t>
      </w:r>
    </w:p>
    <w:p w14:paraId="328AC1B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深入学习运用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千万工程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经验，持续深化整治提升农村人居环境，打响打好村庄清洁行动系列战役，全域化推进、常态化开展、长效化保持，加快推动村庄环境从干净整洁向生态宜居美丽乡村迈进。推动农村生活垃圾无害化处理，常态化开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五清三建一改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优化农村生活垃圾收转运处理体系，确保农村垃圾日产日清。积极推广垃圾分类，引导村民从源头减量，完善垃圾收集转运体系，实现垃圾无害化处理和资源再生利用。持续推进农村厕所革命。健全完善后期设备维修维护、收运处理、资源化利用体系机制，确保彻底消除旱厕死角，实现农村卫生厕所全覆盖，粪污资源化利用。推进农村污水治理，完善农村生活污水运行机制，加快小型污水处理厂建设、污水管网铺设，促进生活污水有效治理占比显著提升，着力打造干净、整洁、有序、美丽的乡村面貌。</w:t>
      </w:r>
    </w:p>
    <w:p w14:paraId="63884E47">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二、着力补齐乡村基础设施短板</w:t>
      </w:r>
    </w:p>
    <w:p w14:paraId="0314B49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扎实推动城乡结合村人居环境整治项目、500人以上建制村通双车道工程等项目建设，抓好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四好农村路</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次差公路整治，争创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四好农村路</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省级美丽农村精品示范路。完成农村气代煤燃气管网优化改造以及户内户外燃气设施更新改造等项目，保障农村群众冬季供暖。实施农村供水保障更新改造提升项目，开展路灯安装、胡同硬化、街道翻修、便道硬化、街角游园、停车场硬化等基础设施建设，推进农村电网改造提升，改善乡村生活条件。统筹谋划实施和美乡村、平原水乡建设，积极争创省级宜居宜业和美乡村示范县。</w:t>
      </w:r>
    </w:p>
    <w:p w14:paraId="2790283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 xml:space="preserve">三、培育文明乡风新风尚  </w:t>
      </w:r>
    </w:p>
    <w:p w14:paraId="50C0DDD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持续深化移风易俗工作，以社会主义核心价值观为引领，以新时代文明实践阵地为依托，以推进农村高额彩礼和大操大办整治省级试点建设为突破，涵育良好家风、淳朴民风、文明乡风。筑牢基层自治根基，健全和完善村民自治制度，建立农村居民新婚彩礼和红白事操办报备制度，将彩礼、酒席倡导性标准纳入村规民约和红白理事会章程。实施婚俗改革，充分发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公益红娘</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优势，构建覆盖县、乡、村三级的公益婚恋服务体系，引导新人树立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重感情、轻彩礼</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婚恋观，营造婚事新办、喜事简办、余事不办的浓厚氛围。弘扬时代新风，依托新时代文明实践中心（所、站）、妇女之家等，常态化开展遏制陈规陋习、推动移风易俗、培育文明乡风等宣传活动，引导群众自觉摒弃高额彩礼、践行文明婚俗。深化激励赋能，选树一批金牌银牌公益红娘、移风易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最美新娘</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最美家庭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等先进典型，形成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选树一个、带动一批、影响一片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的辐射效应。</w:t>
      </w:r>
    </w:p>
    <w:p w14:paraId="005EFF4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p>
    <w:tbl>
      <w:tblPr>
        <w:tblStyle w:val="18"/>
        <w:tblW w:w="4863" w:type="pct"/>
        <w:jc w:val="center"/>
        <w:tblLayout w:type="fixed"/>
        <w:tblCellMar>
          <w:top w:w="0" w:type="dxa"/>
          <w:left w:w="108" w:type="dxa"/>
          <w:bottom w:w="0" w:type="dxa"/>
          <w:right w:w="108" w:type="dxa"/>
        </w:tblCellMar>
      </w:tblPr>
      <w:tblGrid>
        <w:gridCol w:w="8812"/>
      </w:tblGrid>
      <w:tr w14:paraId="11FE9B1C">
        <w:tblPrEx>
          <w:tblCellMar>
            <w:top w:w="0" w:type="dxa"/>
            <w:left w:w="108" w:type="dxa"/>
            <w:bottom w:w="0" w:type="dxa"/>
            <w:right w:w="108" w:type="dxa"/>
          </w:tblCellMar>
        </w:tblPrEx>
        <w:trPr>
          <w:trHeight w:val="624" w:hRule="atLeast"/>
          <w:jc w:val="center"/>
        </w:trPr>
        <w:tc>
          <w:tcPr>
            <w:tcW w:w="5000" w:type="pct"/>
            <w:tcBorders>
              <w:top w:val="single" w:color="000000" w:sz="4" w:space="0"/>
              <w:left w:val="single" w:color="000000" w:sz="4" w:space="0"/>
              <w:bottom w:val="single" w:color="000000" w:sz="4" w:space="0"/>
              <w:right w:val="single" w:color="000000" w:sz="4" w:space="0"/>
            </w:tcBorders>
            <w:noWrap/>
            <w:vAlign w:val="center"/>
          </w:tcPr>
          <w:p w14:paraId="10454E79">
            <w:pPr>
              <w:spacing w:line="600" w:lineRule="exact"/>
              <w:jc w:val="center"/>
              <w:rPr>
                <w:rFonts w:hint="default" w:ascii="Times New Roman" w:hAnsi="Times New Roman" w:eastAsia="楷体" w:cs="Times New Roman"/>
                <w:b/>
                <w:bCs/>
                <w:color w:val="000000"/>
                <w:sz w:val="28"/>
                <w:szCs w:val="28"/>
              </w:rPr>
            </w:pPr>
            <w:r>
              <w:rPr>
                <w:rFonts w:hint="default" w:ascii="Times New Roman" w:hAnsi="Times New Roman" w:eastAsia="楷体" w:cs="Times New Roman"/>
                <w:b/>
                <w:bCs/>
                <w:color w:val="000000"/>
                <w:sz w:val="28"/>
                <w:szCs w:val="28"/>
              </w:rPr>
              <w:t>专栏8-2  和美乡村建设工程</w:t>
            </w:r>
          </w:p>
        </w:tc>
      </w:tr>
      <w:tr w14:paraId="7A114816">
        <w:tblPrEx>
          <w:tblCellMar>
            <w:top w:w="0" w:type="dxa"/>
            <w:left w:w="108" w:type="dxa"/>
            <w:bottom w:w="0" w:type="dxa"/>
            <w:right w:w="108" w:type="dxa"/>
          </w:tblCellMar>
        </w:tblPrEx>
        <w:trPr>
          <w:trHeight w:val="582" w:hRule="atLeast"/>
          <w:jc w:val="center"/>
        </w:trPr>
        <w:tc>
          <w:tcPr>
            <w:tcW w:w="5000" w:type="pct"/>
            <w:tcBorders>
              <w:top w:val="nil"/>
              <w:left w:val="single" w:color="000000" w:sz="4" w:space="0"/>
              <w:bottom w:val="single" w:color="000000" w:sz="4" w:space="0"/>
              <w:right w:val="single" w:color="000000" w:sz="4" w:space="0"/>
            </w:tcBorders>
            <w:noWrap/>
            <w:vAlign w:val="center"/>
          </w:tcPr>
          <w:p w14:paraId="7384D695">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w:t>
            </w:r>
            <w:r>
              <w:rPr>
                <w:rFonts w:hint="default" w:ascii="Times New Roman" w:hAnsi="Times New Roman" w:eastAsia="仿宋" w:cs="Times New Roman"/>
                <w:color w:val="000000"/>
                <w:sz w:val="24"/>
                <w:szCs w:val="24"/>
                <w:shd w:val="clear" w:color="auto" w:fill="FFFFFF"/>
              </w:rPr>
              <w:t>农村生活垃圾无害化处理项目</w:t>
            </w:r>
          </w:p>
          <w:p w14:paraId="2CE9CC2B">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2.</w:t>
            </w:r>
            <w:r>
              <w:rPr>
                <w:rFonts w:hint="default" w:ascii="Times New Roman" w:hAnsi="Times New Roman" w:eastAsia="仿宋" w:cs="Times New Roman"/>
                <w:color w:val="000000"/>
                <w:sz w:val="24"/>
                <w:szCs w:val="24"/>
                <w:shd w:val="clear" w:color="auto" w:fill="FFFFFF"/>
              </w:rPr>
              <w:t>农村卫生厕所全覆盖项目</w:t>
            </w:r>
          </w:p>
          <w:p w14:paraId="7CD3384E">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3.</w:t>
            </w:r>
            <w:r>
              <w:rPr>
                <w:rFonts w:hint="default" w:ascii="Times New Roman" w:hAnsi="Times New Roman" w:eastAsia="仿宋" w:cs="Times New Roman"/>
                <w:color w:val="000000"/>
                <w:sz w:val="24"/>
                <w:szCs w:val="24"/>
                <w:shd w:val="clear" w:color="auto" w:fill="FFFFFF"/>
              </w:rPr>
              <w:t>农村污水治理项目</w:t>
            </w:r>
          </w:p>
          <w:p w14:paraId="3ED56FB3">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4.</w:t>
            </w:r>
            <w:r>
              <w:rPr>
                <w:rFonts w:hint="default" w:ascii="Times New Roman" w:hAnsi="Times New Roman" w:eastAsia="仿宋" w:cs="Times New Roman"/>
                <w:color w:val="000000"/>
                <w:sz w:val="24"/>
                <w:szCs w:val="24"/>
                <w:shd w:val="clear" w:color="auto" w:fill="FFFFFF"/>
              </w:rPr>
              <w:t>城乡结合村人居环境整治项目</w:t>
            </w:r>
          </w:p>
          <w:p w14:paraId="21AA0203">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5.</w:t>
            </w:r>
            <w:r>
              <w:rPr>
                <w:rFonts w:hint="default" w:ascii="Times New Roman" w:hAnsi="Times New Roman" w:eastAsia="仿宋" w:cs="Times New Roman"/>
                <w:color w:val="000000"/>
                <w:sz w:val="24"/>
                <w:szCs w:val="24"/>
                <w:shd w:val="clear" w:color="auto" w:fill="FFFFFF"/>
              </w:rPr>
              <w:t>500人以上建制村通双车道工程</w:t>
            </w:r>
          </w:p>
          <w:p w14:paraId="1EC006BD">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6.</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四好农村路</w:t>
            </w:r>
            <w:r>
              <w:rPr>
                <w:rFonts w:hint="eastAsia" w:ascii="Times New Roman" w:hAnsi="Times New Roman" w:eastAsia="仿宋" w:cs="Times New Roman"/>
                <w:color w:val="000000"/>
                <w:sz w:val="24"/>
                <w:szCs w:val="24"/>
                <w:shd w:val="clear" w:color="auto" w:fill="FFFFFF"/>
                <w:lang w:eastAsia="zh-CN"/>
              </w:rPr>
              <w:t>”</w:t>
            </w:r>
            <w:r>
              <w:rPr>
                <w:rFonts w:hint="default" w:ascii="Times New Roman" w:hAnsi="Times New Roman" w:eastAsia="仿宋" w:cs="Times New Roman"/>
                <w:color w:val="000000"/>
                <w:sz w:val="24"/>
                <w:szCs w:val="24"/>
                <w:shd w:val="clear" w:color="auto" w:fill="FFFFFF"/>
              </w:rPr>
              <w:t>次差公路整治项目</w:t>
            </w:r>
          </w:p>
          <w:p w14:paraId="7354A0B7">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7.</w:t>
            </w:r>
            <w:r>
              <w:rPr>
                <w:rFonts w:hint="default" w:ascii="Times New Roman" w:hAnsi="Times New Roman" w:eastAsia="仿宋" w:cs="Times New Roman"/>
                <w:color w:val="000000"/>
                <w:sz w:val="24"/>
                <w:szCs w:val="24"/>
                <w:shd w:val="clear" w:color="auto" w:fill="FFFFFF"/>
              </w:rPr>
              <w:t>农村气代煤燃气管网优化改造项目</w:t>
            </w:r>
          </w:p>
          <w:p w14:paraId="1ADA93C6">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8.</w:t>
            </w:r>
            <w:r>
              <w:rPr>
                <w:rFonts w:hint="default" w:ascii="Times New Roman" w:hAnsi="Times New Roman" w:eastAsia="仿宋" w:cs="Times New Roman"/>
                <w:color w:val="000000"/>
                <w:sz w:val="24"/>
                <w:szCs w:val="24"/>
                <w:shd w:val="clear" w:color="auto" w:fill="FFFFFF"/>
              </w:rPr>
              <w:t>农村气代煤户内、户外燃气设施更新改造项目</w:t>
            </w:r>
          </w:p>
          <w:p w14:paraId="464C838B">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9.</w:t>
            </w:r>
            <w:r>
              <w:rPr>
                <w:rFonts w:hint="default" w:ascii="Times New Roman" w:hAnsi="Times New Roman" w:eastAsia="仿宋" w:cs="Times New Roman"/>
                <w:color w:val="000000"/>
                <w:sz w:val="24"/>
                <w:szCs w:val="24"/>
                <w:shd w:val="clear" w:color="auto" w:fill="FFFFFF"/>
              </w:rPr>
              <w:t>农村供水保障更新改造提升项目</w:t>
            </w:r>
          </w:p>
          <w:p w14:paraId="4C005C75">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10.</w:t>
            </w:r>
            <w:r>
              <w:rPr>
                <w:rFonts w:hint="default" w:ascii="Times New Roman" w:hAnsi="Times New Roman" w:eastAsia="仿宋" w:cs="Times New Roman"/>
                <w:color w:val="000000"/>
                <w:sz w:val="24"/>
                <w:szCs w:val="24"/>
                <w:shd w:val="clear" w:color="auto" w:fill="FFFFFF"/>
              </w:rPr>
              <w:t>滞洪区提升工程</w:t>
            </w:r>
          </w:p>
          <w:p w14:paraId="4B7FB9C9">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11.</w:t>
            </w:r>
            <w:r>
              <w:rPr>
                <w:rFonts w:hint="default" w:ascii="Times New Roman" w:hAnsi="Times New Roman" w:eastAsia="仿宋" w:cs="Times New Roman"/>
                <w:color w:val="000000"/>
                <w:sz w:val="24"/>
                <w:szCs w:val="24"/>
                <w:shd w:val="clear" w:color="auto" w:fill="FFFFFF"/>
              </w:rPr>
              <w:t>路灯安装、胡同硬化、街道翻修、便道硬化、街角游园、停车场硬化等村容村貌基础设施建设提升工程</w:t>
            </w:r>
          </w:p>
          <w:p w14:paraId="4F210ADD">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shd w:val="clear" w:color="auto" w:fill="FFFFFF"/>
              </w:rPr>
            </w:pPr>
            <w:r>
              <w:rPr>
                <w:rFonts w:hint="default" w:ascii="Times New Roman" w:hAnsi="Times New Roman" w:eastAsia="仿宋" w:cs="Times New Roman"/>
                <w:color w:val="000000"/>
                <w:kern w:val="2"/>
                <w:sz w:val="24"/>
                <w:szCs w:val="24"/>
                <w:shd w:val="clear" w:color="auto" w:fill="FFFFFF"/>
                <w:lang w:val="en-US" w:eastAsia="zh-CN" w:bidi="ar-SA"/>
              </w:rPr>
              <w:t>12.</w:t>
            </w:r>
            <w:r>
              <w:rPr>
                <w:rFonts w:hint="default" w:ascii="Times New Roman" w:hAnsi="Times New Roman" w:eastAsia="仿宋" w:cs="Times New Roman"/>
                <w:color w:val="000000"/>
                <w:sz w:val="24"/>
                <w:szCs w:val="24"/>
                <w:shd w:val="clear" w:color="auto" w:fill="FFFFFF"/>
              </w:rPr>
              <w:t>农村电网改造提升</w:t>
            </w:r>
          </w:p>
        </w:tc>
      </w:tr>
    </w:tbl>
    <w:p w14:paraId="081EFA0A">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89" w:name="_Toc14802"/>
      <w:bookmarkStart w:id="90" w:name="_Toc16472"/>
      <w:r>
        <w:rPr>
          <w:rFonts w:hint="default" w:ascii="Times New Roman" w:hAnsi="Times New Roman" w:eastAsia="楷体" w:cs="Times New Roman"/>
          <w:b/>
          <w:color w:val="000000"/>
          <w:sz w:val="32"/>
          <w:szCs w:val="28"/>
        </w:rPr>
        <w:t>第五节 持续深化农村改革</w:t>
      </w:r>
      <w:bookmarkEnd w:id="89"/>
      <w:bookmarkEnd w:id="90"/>
    </w:p>
    <w:p w14:paraId="44E1D06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一、推进全国农村改革试验区建设。</w:t>
      </w:r>
      <w:r>
        <w:rPr>
          <w:rFonts w:hint="default" w:ascii="Times New Roman" w:hAnsi="Times New Roman" w:eastAsia="仿宋_GB2312" w:cs="Times New Roman"/>
          <w:color w:val="000000"/>
          <w:sz w:val="32"/>
          <w:szCs w:val="32"/>
        </w:rPr>
        <w:t>聚焦农村土地制度、产业振兴、基层治理（数字乡村）、集体经济发展、金融服务、公共服务等</w:t>
      </w:r>
      <w:r>
        <w:rPr>
          <w:rFonts w:hint="eastAsia" w:eastAsia="仿宋_GB2312" w:cs="Times New Roman"/>
          <w:color w:val="000000"/>
          <w:sz w:val="32"/>
          <w:szCs w:val="32"/>
          <w:lang w:val="en-US" w:eastAsia="zh-CN"/>
        </w:rPr>
        <w:t>六</w:t>
      </w:r>
      <w:r>
        <w:rPr>
          <w:rFonts w:hint="default" w:ascii="Times New Roman" w:hAnsi="Times New Roman" w:eastAsia="仿宋_GB2312" w:cs="Times New Roman"/>
          <w:color w:val="000000"/>
          <w:sz w:val="32"/>
          <w:szCs w:val="32"/>
        </w:rPr>
        <w:t>个方面进行大胆有益的探索，持续推进全国农村改革试验区建设，进一步放大示范引领效应，积极构建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政企结合、市场主导</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的多元化投入机制和经营机制，强化特色优势产业培育，拓展多元产业功能，探索产城、产村、园村联动发展和一二三产业融合发展的机制模式，形成可复制可推广的乡村振兴有效路径。</w:t>
      </w:r>
    </w:p>
    <w:p w14:paraId="336B2688">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二、深化土地制度改革。</w:t>
      </w:r>
      <w:r>
        <w:rPr>
          <w:rFonts w:hint="default" w:ascii="Times New Roman" w:hAnsi="Times New Roman" w:eastAsia="仿宋_GB2312" w:cs="Times New Roman"/>
          <w:color w:val="000000"/>
          <w:sz w:val="32"/>
          <w:szCs w:val="32"/>
        </w:rPr>
        <w:t>落实第二轮土地承包到期后再延长30年部署，深化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分置改革，系统推进农村土地经营权规范流转，构建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县统筹、乡监管、村落实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分置改革管理体系，规范经营权流转管理，有序推进农村集体经营性建设用地入市。</w:t>
      </w:r>
    </w:p>
    <w:p w14:paraId="3ABA65D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三、推进供销社综合改革。</w:t>
      </w:r>
      <w:r>
        <w:rPr>
          <w:rFonts w:hint="default" w:ascii="Times New Roman" w:hAnsi="Times New Roman" w:eastAsia="仿宋_GB2312" w:cs="Times New Roman"/>
          <w:color w:val="000000"/>
          <w:sz w:val="32"/>
          <w:szCs w:val="32"/>
        </w:rPr>
        <w:t>持续推进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补网强网用网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行动，力争农业社会化服务实现乡镇基层社全覆盖、村级服务网点全覆盖，助力乡村振兴。落实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千县千社质量提升行动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要求，打造集农资供应、农业社会化服务、商品展销、再生资源回收四项主营业务的乡镇综合服务站。深化物流体系建设，整合全县物流资源，推动实现规模化、集约化运营，打通农产品从田间到终端的直供通道，实现农产品快速运输配送。谋划开展废旧农膜、农药肥料包装废弃物回收处理，减轻农田白色垃圾污染，力争实现县、乡、村三级布局合理、网络畅通的再生资源回收体系。用好数字网络，依托</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巨鹿现代农业全产业链数字化服务平台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小程序等数字化平台和物联网、大数据等技术，实现农业服务需求对接、作业调度、质量监管等数字化管理，增加农户收益。</w:t>
      </w:r>
    </w:p>
    <w:p w14:paraId="35975D3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四、加强宅基地管理</w:t>
      </w:r>
    </w:p>
    <w:p w14:paraId="0C90B038">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color w:val="000000"/>
          <w:sz w:val="32"/>
          <w:szCs w:val="32"/>
        </w:rPr>
        <w:t>稳妥推进宅基地改革，探索宅基地所有权、资格权、使用权分置实现形式，建立健全宅基地有偿退出机制，严格落实村庄规划管控要求，切实维护农村宅基地管理秩序，保障农民合法居住权益。</w:t>
      </w:r>
    </w:p>
    <w:p w14:paraId="2A4817F9">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bookmarkStart w:id="91" w:name="_Toc13439"/>
      <w:bookmarkStart w:id="92" w:name="_Toc24386"/>
      <w:r>
        <w:rPr>
          <w:rFonts w:hint="default" w:ascii="Times New Roman" w:hAnsi="Times New Roman" w:eastAsia="黑体" w:cs="Times New Roman"/>
          <w:b/>
          <w:color w:val="000000"/>
          <w:sz w:val="32"/>
          <w:szCs w:val="28"/>
        </w:rPr>
        <w:br w:type="page"/>
      </w:r>
      <w:r>
        <w:rPr>
          <w:rFonts w:hint="default" w:ascii="Times New Roman" w:hAnsi="Times New Roman" w:eastAsia="黑体" w:cs="Times New Roman"/>
          <w:bCs/>
          <w:color w:val="000000"/>
          <w:sz w:val="32"/>
          <w:szCs w:val="28"/>
        </w:rPr>
        <w:t>第九章</w:t>
      </w:r>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推进降碳减污扩绿增长，全面改善生态环境质量</w:t>
      </w:r>
      <w:bookmarkEnd w:id="91"/>
      <w:bookmarkEnd w:id="92"/>
    </w:p>
    <w:p w14:paraId="4FBA773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深入贯彻习近平生态文明思想，牢固树立和践行绿水青山就是金山银山理念，坚定不移走生态优先、绿色发展之路，以高品质生态环境支撑巨鹿高质量发展。</w:t>
      </w:r>
    </w:p>
    <w:p w14:paraId="6F2A24E9">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93" w:name="_Toc31069"/>
      <w:bookmarkStart w:id="94" w:name="_Toc16531"/>
      <w:r>
        <w:rPr>
          <w:rFonts w:hint="default" w:ascii="Times New Roman" w:hAnsi="Times New Roman" w:eastAsia="楷体" w:cs="Times New Roman"/>
          <w:b/>
          <w:color w:val="000000"/>
          <w:sz w:val="32"/>
          <w:szCs w:val="28"/>
        </w:rPr>
        <w:t>第一节 推进污染防治攻坚</w:t>
      </w:r>
      <w:bookmarkEnd w:id="93"/>
      <w:bookmarkEnd w:id="94"/>
    </w:p>
    <w:p w14:paraId="4162BAA9">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环保为民，全面落实精准治污、科学治污、依法治污，更加注重源头治理和协同管控，把改善环境质量作为增进民生福祉的重要着力点。围绕群众反映强烈的大气、水、土壤等突出环境问题，系统推进污染治理、生态修复和风险防控，努力实现环境质量持续改善与经济社会发展良性互动，让群众在良好生态环境中共享发展成果。</w:t>
      </w:r>
    </w:p>
    <w:p w14:paraId="241376D2">
      <w:pPr>
        <w:keepNext w:val="0"/>
        <w:keepLines w:val="0"/>
        <w:pageBreakBefore w:val="0"/>
        <w:widowControl w:val="0"/>
        <w:kinsoku/>
        <w:wordWrap/>
        <w:overflowPunct w:val="0"/>
        <w:topLinePunct w:val="0"/>
        <w:autoSpaceDE w:val="0"/>
        <w:autoSpaceDN w:val="0"/>
        <w:bidi w:val="0"/>
        <w:adjustRightInd w:val="0"/>
        <w:spacing w:line="570" w:lineRule="exact"/>
        <w:ind w:firstLine="643" w:firstLineChars="20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一、持续推进大气污染防治，巩固空气质量改善成效</w:t>
      </w:r>
    </w:p>
    <w:p w14:paraId="4F0536E2">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深入打好蓝天保卫战，坚持把改善空气质量作为生态环境保护的重点方向，全面推进工业源、扬尘源、移动源和面源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四源共治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 xml:space="preserve">。在工业源治理方面，聚焦工业园区和重点涉气企业，统筹推进超低排放改造和清洁能源替代。加强无组织排放和挥发性有机物全过程管控，规范治污设施运行管理，推动重点行业环保绩效水平稳步提升。在扬尘源防治方面，严格落实建设施工、道路保洁、物料堆场等扬尘管控责任，持续推进城区及重点区域精细化管理；全面落实施工工地扬尘防治措施，确保 </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七个百分百</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两个全覆盖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措施落实到位；加强道路机械化清扫和湿法作业，降低二次扬尘对空气质量的影响。在移动源治理方面，加快推动重点用车单位和非道路移动机械新能源替换更新，力争实现叉车、公共服务领域环卫作业车辆及生活垃圾运输车辆全面新能源替代，有效压减移动源污染排放。在面源污染防治方面，用好无人机飞检、天眼监控等技术手段，减少火点的发生。完成全县涉油烟餐饮饭店全部安装油烟净化设备，加大监督检查力度，确保设备正常运行。同时，持续加强治理体系建设，健全大气污染防治责任体系，完善县、乡、村三级网格管理机制，将村干部纳入基层环境治理网格，实现责任到人、任务到点。依托监测数据分析和信息化平台，加强污染过程研判和应急调度，推动大气污染防治由事后应对向事前预防、精准管控转变。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末，全县颗粒物平均浓度达到市定目标。</w:t>
      </w:r>
    </w:p>
    <w:p w14:paraId="57468256">
      <w:pPr>
        <w:keepNext w:val="0"/>
        <w:keepLines w:val="0"/>
        <w:pageBreakBefore w:val="0"/>
        <w:widowControl w:val="0"/>
        <w:kinsoku/>
        <w:wordWrap/>
        <w:overflowPunct w:val="0"/>
        <w:topLinePunct w:val="0"/>
        <w:autoSpaceDE w:val="0"/>
        <w:autoSpaceDN w:val="0"/>
        <w:bidi w:val="0"/>
        <w:adjustRightInd w:val="0"/>
        <w:spacing w:line="570" w:lineRule="exact"/>
        <w:ind w:firstLine="643" w:firstLineChars="20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二、加强水环境治理，持续改善水生态</w:t>
      </w:r>
    </w:p>
    <w:p w14:paraId="39ED794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入打好碧水保卫战，严格落实河长制，突出源头管控和过程监管，持续加强入河排污口规范化管理。全面开展入河排污口排查整治，严格落实排污口分类监管和责任落实，严防污水直排、偷排入河。加强工业园区水污染防治，提升园区雨污收集处理效能，防范水环境风险。系统推进县域河渠沟塘治理工程，持续开展清淤疏浚、垃圾清理和水体修复，推动治理成果由</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集中整治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长效管护</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转变，实现坑塘水体有效治理、稳定管控。强化农村生活污水收集处理，坚持因地制宜、分类施策的原则，加快补齐污水收集处理设施短板，保证治污设施稳定运行。到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末，全县农村生活污水治理率达到上级要求。</w:t>
      </w:r>
    </w:p>
    <w:p w14:paraId="5904994D">
      <w:pPr>
        <w:keepNext w:val="0"/>
        <w:keepLines w:val="0"/>
        <w:pageBreakBefore w:val="0"/>
        <w:widowControl w:val="0"/>
        <w:kinsoku/>
        <w:wordWrap/>
        <w:overflowPunct w:val="0"/>
        <w:topLinePunct w:val="0"/>
        <w:autoSpaceDE w:val="0"/>
        <w:autoSpaceDN w:val="0"/>
        <w:bidi w:val="0"/>
        <w:adjustRightInd w:val="0"/>
        <w:spacing w:line="570" w:lineRule="exact"/>
        <w:ind w:firstLine="643" w:firstLineChars="20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三、强化土壤与固体废物污染防治，保障土壤质量</w:t>
      </w:r>
    </w:p>
    <w:p w14:paraId="244DE59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入打好净土保卫战，开展土壤污染源头防控。围绕农业生产实际，突出抓好农业土壤质量问题治理。推进测土配方施肥、有机肥替代和秸秆还田等措施，逐步改善土壤结构和地力条件，促进耕地质量稳步提升。加强畜禽养殖污染防控，降低农业面源对土壤环境的影响。加强规模养殖场监管，确保配套设施稳定运行，推进畜禽养殖粪污资源化利用，规范粪污收集、储存和还田利用环节，持续提高畜禽粪污综合利用率。强化固体废物、危险废物和新污染物治理，确保土壤质量持续稳定。</w:t>
      </w:r>
    </w:p>
    <w:p w14:paraId="5197D906">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95" w:name="_Toc31995"/>
      <w:bookmarkStart w:id="96" w:name="_Toc20080"/>
      <w:r>
        <w:rPr>
          <w:rFonts w:hint="default" w:ascii="Times New Roman" w:hAnsi="Times New Roman" w:eastAsia="楷体" w:cs="Times New Roman"/>
          <w:b/>
          <w:color w:val="000000"/>
          <w:sz w:val="32"/>
          <w:szCs w:val="28"/>
        </w:rPr>
        <w:t>第二节 深化生态保护修复</w:t>
      </w:r>
      <w:bookmarkEnd w:id="95"/>
      <w:bookmarkEnd w:id="96"/>
    </w:p>
    <w:p w14:paraId="07DBD67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一、严守生态保护红线。</w:t>
      </w:r>
      <w:r>
        <w:rPr>
          <w:rFonts w:hint="default" w:ascii="Times New Roman" w:hAnsi="Times New Roman" w:eastAsia="仿宋_GB2312" w:cs="Times New Roman"/>
          <w:color w:val="000000"/>
          <w:sz w:val="32"/>
          <w:szCs w:val="32"/>
        </w:rPr>
        <w:t>坚持造林与护林并重，严格落实林长制，系统推进国土绿化行动，推动河渠沿线生态廊道建设工程，统筹推进县城增绿、村庄绿化和交通沿线绿化工程，到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末森林蓄积量达到204000立方米。</w:t>
      </w:r>
    </w:p>
    <w:p w14:paraId="58CA177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二、深化地下水超采综合治理</w:t>
      </w:r>
      <w:r>
        <w:rPr>
          <w:rFonts w:hint="default" w:ascii="Times New Roman" w:hAnsi="Times New Roman" w:eastAsia="仿宋_GB2312" w:cs="Times New Roman"/>
          <w:color w:val="000000"/>
          <w:sz w:val="32"/>
          <w:szCs w:val="32"/>
        </w:rPr>
        <w:t>。严格落实地下水管控要求，实施城乡生活水源、农业灌溉水源置换工程，发展喷灌、滴灌等高效节水灌溉，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末，计划新增压采量253万立方米，巩固提升压采量973万立方米。在第一污水处理厂建设再生水配套管网及泵站，推动再生水回收利用，提高水资源循环利用水平。通过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节、引、蓄、管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综合施策，构建多水源协同、水资源循环利用的县域水资源保障体系，推动地下水水位总体稳定向好。</w:t>
      </w:r>
    </w:p>
    <w:p w14:paraId="0AB6076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三、加强防洪排涝治理</w:t>
      </w:r>
      <w:r>
        <w:rPr>
          <w:rFonts w:hint="default" w:ascii="Times New Roman" w:hAnsi="Times New Roman" w:eastAsia="仿宋_GB2312" w:cs="Times New Roman"/>
          <w:color w:val="000000"/>
          <w:sz w:val="32"/>
          <w:szCs w:val="32"/>
        </w:rPr>
        <w:t>。实施滞洪区提升工程、河渠地下水回补工程、水源连通工程、河渠综合治理工程、数字孪生水网建设等水网建设工程，提升水系调蓄能力和整体连通水平，增强县域防洪排涝和生态调节功能。到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末，基本实现主要河渠稳定连通、重点坑塘有效纳管，县域水系循环能力和生态安全水平明显提升。</w:t>
      </w:r>
    </w:p>
    <w:p w14:paraId="4A22E3CD">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97" w:name="_Toc26817"/>
      <w:bookmarkStart w:id="98" w:name="_Toc2937"/>
      <w:r>
        <w:rPr>
          <w:rFonts w:hint="default" w:ascii="Times New Roman" w:hAnsi="Times New Roman" w:eastAsia="楷体" w:cs="Times New Roman"/>
          <w:b/>
          <w:color w:val="000000"/>
          <w:sz w:val="32"/>
          <w:szCs w:val="28"/>
        </w:rPr>
        <w:t>第三节 推进绿色低碳转型</w:t>
      </w:r>
      <w:bookmarkEnd w:id="97"/>
      <w:bookmarkEnd w:id="98"/>
    </w:p>
    <w:p w14:paraId="71B02BE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坚持把绿色低碳发展作为解决生态环境问题的治本之策，加快形成绿色生产方式和生活方式，厚植高质量发展的绿色底色。</w:t>
      </w:r>
      <w:r>
        <w:rPr>
          <w:rFonts w:hint="eastAsia" w:ascii="仿宋" w:hAnsi="仿宋" w:eastAsia="仿宋" w:cs="仿宋"/>
          <w:color w:val="FF0000"/>
          <w:sz w:val="32"/>
          <w:szCs w:val="32"/>
        </w:rPr>
        <w:t>严把准入关口，坚决遏制高耗能、高排放、低水平项目盲目发展。推动新能源产业与绿色制造、循环经济深度融合，提升区域生态治理协同性。</w:t>
      </w:r>
    </w:p>
    <w:p w14:paraId="40D2DDD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一、加快产业绿色转型升级</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color w:val="000000"/>
          <w:sz w:val="32"/>
          <w:szCs w:val="32"/>
        </w:rPr>
        <w:t>推进产业数字化智能化同绿色化的深度融合，加快建设以实体经济为支撑的现代化产业体系，大力发展战略性新兴产业、高技术产业、绿色环保产业、现代服务业。严把准入关口，坚决遏制高耗能、高排放、低水平项目盲目上马。实施全面节约战略，推进节能、节水、节地等，加快构建废弃物循环利用体系，科学利用各类资源，提高资源产出率。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末，全县单位地区生产总值能耗、主要污染物排放强度持续下降，完成市级下达的阶段性目标任务。</w:t>
      </w:r>
    </w:p>
    <w:p w14:paraId="1ACB5E5F">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二、推动形成绿色生活方式。</w:t>
      </w:r>
      <w:r>
        <w:rPr>
          <w:rFonts w:hint="default" w:ascii="Times New Roman" w:hAnsi="Times New Roman" w:eastAsia="仿宋_GB2312" w:cs="Times New Roman"/>
          <w:color w:val="000000"/>
          <w:sz w:val="32"/>
          <w:szCs w:val="32"/>
        </w:rPr>
        <w:t>大力倡导简约适度、绿色低碳、文明健康的生活理念和消费方式，让绿色出行、节水节电、</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光盘行动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、垃圾分类等成为习惯，广泛动员园区、企业、社区、学校、家庭和个人积极行动起来，形成人人、事事、时时、处处崇尚生态文明的社会氛围。</w:t>
      </w:r>
    </w:p>
    <w:p w14:paraId="4C6D706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三、积极稳妥推进碳达峰碳中和</w:t>
      </w:r>
      <w:r>
        <w:rPr>
          <w:rFonts w:hint="default" w:ascii="Times New Roman" w:hAnsi="Times New Roman" w:eastAsia="仿宋_GB2312" w:cs="Times New Roman"/>
          <w:color w:val="000000"/>
          <w:sz w:val="32"/>
          <w:szCs w:val="32"/>
        </w:rPr>
        <w:t>。深入实施2030年前碳达峰行动方案，确保安全降碳。在碳排放强度控制基础上，逐步转向碳排放总量和强度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双控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在推进农村地区清洁取暖降碳产品交易的基础上，进一步丰富交易品种和交易方式，降低碳减排成本，增强企业绿色低碳发展意识。抓好煤炭清洁高效利用，大力发展风电和太阳能发电，统筹水电开发和生态保护，积极构建清洁低碳安全高效的能源体系。</w:t>
      </w:r>
    </w:p>
    <w:tbl>
      <w:tblPr>
        <w:tblStyle w:val="18"/>
        <w:tblpPr w:leftFromText="180" w:rightFromText="180" w:vertAnchor="text" w:horzAnchor="page" w:tblpXSpec="center" w:tblpY="9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7"/>
      </w:tblGrid>
      <w:tr w14:paraId="4800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77" w:type="dxa"/>
            <w:noWrap w:val="0"/>
            <w:vAlign w:val="center"/>
          </w:tcPr>
          <w:p w14:paraId="30A17933">
            <w:pPr>
              <w:spacing w:line="600" w:lineRule="exact"/>
              <w:jc w:val="center"/>
              <w:rPr>
                <w:rFonts w:hint="default" w:ascii="Times New Roman" w:hAnsi="Times New Roman" w:eastAsia="仿宋" w:cs="Times New Roman"/>
                <w:color w:val="000000"/>
                <w:sz w:val="28"/>
                <w:szCs w:val="28"/>
              </w:rPr>
            </w:pPr>
            <w:r>
              <w:rPr>
                <w:rFonts w:hint="default" w:ascii="Times New Roman" w:hAnsi="Times New Roman" w:eastAsia="楷体" w:cs="Times New Roman"/>
                <w:b/>
                <w:bCs/>
                <w:color w:val="000000"/>
                <w:sz w:val="28"/>
                <w:szCs w:val="28"/>
              </w:rPr>
              <w:t>专栏9-1 县域生态修复提升项目</w:t>
            </w:r>
          </w:p>
        </w:tc>
      </w:tr>
      <w:tr w14:paraId="3FE2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8777" w:type="dxa"/>
            <w:noWrap w:val="0"/>
            <w:vAlign w:val="center"/>
          </w:tcPr>
          <w:p w14:paraId="04325AA3">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1.生态廊道建设工程</w:t>
            </w:r>
          </w:p>
          <w:p w14:paraId="22A6FC69">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2.畜禽养殖粪污治理及资源化利用工程</w:t>
            </w:r>
          </w:p>
          <w:p w14:paraId="70E20DB6">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3.雨水管网排水提升工程</w:t>
            </w:r>
          </w:p>
          <w:p w14:paraId="78FF7DEE">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4.再生水回用工程</w:t>
            </w:r>
          </w:p>
          <w:p w14:paraId="4F514DFA">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5.地下水超采综合治理农业灌溉水源置换工程</w:t>
            </w:r>
          </w:p>
          <w:p w14:paraId="4614FC11">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6.河渠地下水回补工程</w:t>
            </w:r>
          </w:p>
          <w:p w14:paraId="68C59F68">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7.河渠综合治理工程</w:t>
            </w:r>
          </w:p>
          <w:p w14:paraId="35BC5E26">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8.坑塘净化提升项目</w:t>
            </w:r>
          </w:p>
          <w:p w14:paraId="02EBE077">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9.污水处理厂扩建工程</w:t>
            </w:r>
          </w:p>
        </w:tc>
      </w:tr>
    </w:tbl>
    <w:p w14:paraId="16E1AE42">
      <w:pPr>
        <w:keepNext/>
        <w:keepLines/>
        <w:pageBreakBefore w:val="0"/>
        <w:kinsoku/>
        <w:wordWrap/>
        <w:overflowPunct/>
        <w:topLinePunct w:val="0"/>
        <w:autoSpaceDE/>
        <w:autoSpaceDN/>
        <w:bidi w:val="0"/>
        <w:snapToGrid/>
        <w:spacing w:line="570" w:lineRule="exact"/>
        <w:contextualSpacing/>
        <w:jc w:val="center"/>
        <w:textAlignment w:val="auto"/>
        <w:outlineLvl w:val="0"/>
        <w:rPr>
          <w:rFonts w:hint="default" w:ascii="Times New Roman" w:hAnsi="Times New Roman" w:eastAsia="黑体" w:cs="Times New Roman"/>
          <w:bCs/>
          <w:color w:val="000000"/>
          <w:sz w:val="32"/>
          <w:szCs w:val="28"/>
        </w:rPr>
      </w:pPr>
      <w:r>
        <w:rPr>
          <w:rFonts w:hint="default" w:ascii="Times New Roman" w:hAnsi="Times New Roman" w:eastAsia="仿宋_GB2312" w:cs="Times New Roman"/>
          <w:b/>
          <w:color w:val="000000"/>
          <w:sz w:val="32"/>
          <w:szCs w:val="32"/>
        </w:rPr>
        <w:br w:type="page"/>
      </w:r>
      <w:bookmarkStart w:id="99" w:name="_Toc18406"/>
      <w:bookmarkStart w:id="100" w:name="_Toc27053"/>
      <w:bookmarkStart w:id="101" w:name="_Toc15424"/>
      <w:bookmarkStart w:id="102" w:name="_Toc21077"/>
      <w:bookmarkStart w:id="103" w:name="_Toc15984"/>
      <w:bookmarkStart w:id="104" w:name="_Toc23646"/>
      <w:bookmarkStart w:id="105" w:name="_Toc26363"/>
      <w:bookmarkStart w:id="106" w:name="_Toc3574"/>
      <w:r>
        <w:rPr>
          <w:rFonts w:hint="default" w:ascii="Times New Roman" w:hAnsi="Times New Roman" w:eastAsia="黑体" w:cs="Times New Roman"/>
          <w:bCs/>
          <w:color w:val="000000"/>
          <w:sz w:val="32"/>
          <w:szCs w:val="28"/>
        </w:rPr>
        <w:t>第十章</w:t>
      </w:r>
      <w:bookmarkEnd w:id="99"/>
      <w:r>
        <w:rPr>
          <w:rFonts w:hint="default"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推进文化兴县，激发文化创新创造活力</w:t>
      </w:r>
      <w:bookmarkEnd w:id="100"/>
      <w:bookmarkEnd w:id="101"/>
    </w:p>
    <w:p w14:paraId="203608ED">
      <w:pPr>
        <w:pageBreakBefore w:val="0"/>
        <w:widowControl/>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40"/>
        </w:rPr>
      </w:pPr>
      <w:r>
        <w:rPr>
          <w:rFonts w:hint="default" w:ascii="Times New Roman" w:hAnsi="Times New Roman" w:eastAsia="仿宋_GB2312" w:cs="Times New Roman"/>
          <w:color w:val="000000"/>
          <w:sz w:val="32"/>
          <w:szCs w:val="40"/>
        </w:rPr>
        <w:t>坚持以习近平文化思想为引领，立足巨鹿厚重历史文化基础，不断丰富优质文化资源供给，推动农文旅体健多业态融合，让</w:t>
      </w:r>
      <w:r>
        <w:rPr>
          <w:rFonts w:hint="eastAsia" w:ascii="Times New Roman" w:hAnsi="Times New Roman" w:eastAsia="仿宋_GB2312" w:cs="Times New Roman"/>
          <w:color w:val="000000"/>
          <w:sz w:val="32"/>
          <w:szCs w:val="40"/>
          <w:lang w:eastAsia="zh-CN"/>
        </w:rPr>
        <w:t>“</w:t>
      </w:r>
      <w:r>
        <w:rPr>
          <w:rFonts w:hint="default" w:ascii="Times New Roman" w:hAnsi="Times New Roman" w:eastAsia="仿宋_GB2312" w:cs="Times New Roman"/>
          <w:color w:val="000000"/>
          <w:sz w:val="32"/>
          <w:szCs w:val="40"/>
        </w:rPr>
        <w:t>千年古郡、鹿鸣花香</w:t>
      </w:r>
      <w:r>
        <w:rPr>
          <w:rFonts w:hint="eastAsia" w:ascii="Times New Roman" w:hAnsi="Times New Roman" w:eastAsia="仿宋_GB2312" w:cs="Times New Roman"/>
          <w:color w:val="000000"/>
          <w:sz w:val="32"/>
          <w:szCs w:val="40"/>
          <w:lang w:eastAsia="zh-CN"/>
        </w:rPr>
        <w:t>”</w:t>
      </w:r>
      <w:r>
        <w:rPr>
          <w:rFonts w:hint="default" w:ascii="Times New Roman" w:hAnsi="Times New Roman" w:eastAsia="仿宋_GB2312" w:cs="Times New Roman"/>
          <w:color w:val="000000"/>
          <w:sz w:val="32"/>
          <w:szCs w:val="40"/>
        </w:rPr>
        <w:t>文化品牌更加彰显。</w:t>
      </w:r>
    </w:p>
    <w:p w14:paraId="5916481A">
      <w:pPr>
        <w:keepNext/>
        <w:keepLines/>
        <w:pageBreakBefore w:val="0"/>
        <w:kinsoku/>
        <w:wordWrap/>
        <w:overflowPunct/>
        <w:topLinePunct w:val="0"/>
        <w:autoSpaceDE/>
        <w:autoSpaceDN/>
        <w:bidi w:val="0"/>
        <w:snapToGrid/>
        <w:spacing w:line="570" w:lineRule="exact"/>
        <w:contextualSpacing/>
        <w:jc w:val="center"/>
        <w:textAlignment w:val="auto"/>
        <w:outlineLvl w:val="1"/>
        <w:rPr>
          <w:rFonts w:hint="default" w:ascii="Times New Roman" w:hAnsi="Times New Roman" w:eastAsia="楷体" w:cs="Times New Roman"/>
          <w:b/>
          <w:color w:val="000000"/>
          <w:sz w:val="32"/>
          <w:szCs w:val="28"/>
        </w:rPr>
      </w:pPr>
      <w:bookmarkStart w:id="107" w:name="_Toc4279"/>
      <w:bookmarkStart w:id="108" w:name="_Toc19770"/>
      <w:bookmarkStart w:id="109" w:name="_Toc29591"/>
      <w:r>
        <w:rPr>
          <w:rFonts w:hint="default" w:ascii="Times New Roman" w:hAnsi="Times New Roman" w:eastAsia="楷体" w:cs="Times New Roman"/>
          <w:b/>
          <w:color w:val="000000"/>
          <w:sz w:val="32"/>
          <w:szCs w:val="28"/>
        </w:rPr>
        <w:t>第一节 弘扬和践行社会主义核心价值观</w:t>
      </w:r>
      <w:bookmarkEnd w:id="107"/>
      <w:bookmarkEnd w:id="108"/>
      <w:bookmarkEnd w:id="109"/>
    </w:p>
    <w:p w14:paraId="00ED94C6">
      <w:pPr>
        <w:pageBreakBefore w:val="0"/>
        <w:widowControl/>
        <w:kinsoku/>
        <w:wordWrap/>
        <w:overflowPunct/>
        <w:topLinePunct w:val="0"/>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40"/>
        </w:rPr>
      </w:pPr>
      <w:r>
        <w:rPr>
          <w:rFonts w:hint="default" w:ascii="Times New Roman" w:hAnsi="Times New Roman" w:eastAsia="仿宋_GB2312" w:cs="Times New Roman"/>
          <w:b/>
          <w:color w:val="000000"/>
          <w:sz w:val="32"/>
          <w:szCs w:val="40"/>
        </w:rPr>
        <w:t>一、落实意识形态</w:t>
      </w:r>
      <w:r>
        <w:rPr>
          <w:rFonts w:hint="default" w:ascii="Times New Roman" w:hAnsi="Times New Roman" w:eastAsia="仿宋_GB2312" w:cs="Times New Roman"/>
          <w:b/>
          <w:color w:val="000000"/>
          <w:sz w:val="32"/>
          <w:szCs w:val="40"/>
          <w:lang w:eastAsia="zh-CN"/>
        </w:rPr>
        <w:t>工作</w:t>
      </w:r>
      <w:r>
        <w:rPr>
          <w:rFonts w:hint="default" w:ascii="Times New Roman" w:hAnsi="Times New Roman" w:eastAsia="仿宋_GB2312" w:cs="Times New Roman"/>
          <w:b/>
          <w:color w:val="000000"/>
          <w:sz w:val="32"/>
          <w:szCs w:val="40"/>
        </w:rPr>
        <w:t>责任制</w:t>
      </w:r>
    </w:p>
    <w:p w14:paraId="601DDE4C">
      <w:pPr>
        <w:pageBreakBefore w:val="0"/>
        <w:widowControl/>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40"/>
        </w:rPr>
        <w:t>严格落实意识形态工作责任制，深化党的创新理论学习和宣传教育，坚持不懈用习近平新时代中国特色社会主义思想凝心铸魂。加强和改进思想政治工作，挖掘宣传并传承好冀南暴动、巨北战役等红色文化资源，加强青少年理想信念教育。强化意识形态阵地建设，落实网络意识形态工作责任制，</w:t>
      </w:r>
      <w:r>
        <w:rPr>
          <w:rFonts w:hint="default" w:ascii="Times New Roman" w:hAnsi="Times New Roman" w:eastAsia="仿宋_GB2312" w:cs="Times New Roman"/>
          <w:color w:val="000000"/>
          <w:sz w:val="32"/>
          <w:szCs w:val="32"/>
        </w:rPr>
        <w:t>推进新闻宣传和网络舆论一体化管理，开展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清朗·巨鹿净网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 xml:space="preserve">专项行动，有效防范应对意识形态风险，保障意识形态安全。 </w:t>
      </w:r>
    </w:p>
    <w:p w14:paraId="01EEC857">
      <w:pPr>
        <w:pageBreakBefore w:val="0"/>
        <w:widowControl/>
        <w:kinsoku/>
        <w:wordWrap/>
        <w:overflowPunct/>
        <w:topLinePunct w:val="0"/>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二、推进新时代公民道德建设</w:t>
      </w:r>
    </w:p>
    <w:p w14:paraId="012DD5D4">
      <w:pPr>
        <w:pageBreakBefore w:val="0"/>
        <w:widowControl/>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40"/>
        </w:rPr>
      </w:pPr>
      <w:r>
        <w:rPr>
          <w:rFonts w:hint="default" w:ascii="Times New Roman" w:hAnsi="Times New Roman" w:eastAsia="仿宋_GB2312" w:cs="Times New Roman"/>
          <w:color w:val="000000"/>
          <w:sz w:val="32"/>
          <w:szCs w:val="40"/>
        </w:rPr>
        <w:t>深入实施公民道德建设工程，推进社会公德、职业道德、家庭美德、个人品德建设，将社会主义核心价值观融入村规民约、行业规范、校园德育，通过主题活动、典型示范、场景浸润等，激励人们向上向善，推动社会主流价值理念转化为群众自觉行动。广泛开展饺子宴、百岁宴等活动，弘扬孝道文化，营造孝老敬亲浓厚氛围。发挥公益红娘引领作用，推进农村高额彩礼和大操大办整治试点建设，大力倡导新时代文明婚俗。依托新时代文明实践中心（所、站），做好</w:t>
      </w:r>
      <w:r>
        <w:rPr>
          <w:rFonts w:hint="eastAsia" w:ascii="Times New Roman" w:hAnsi="Times New Roman" w:eastAsia="仿宋_GB2312" w:cs="Times New Roman"/>
          <w:color w:val="000000"/>
          <w:sz w:val="32"/>
          <w:szCs w:val="40"/>
          <w:lang w:eastAsia="zh-CN"/>
        </w:rPr>
        <w:t>“</w:t>
      </w:r>
      <w:r>
        <w:rPr>
          <w:rFonts w:hint="default" w:ascii="Times New Roman" w:hAnsi="Times New Roman" w:eastAsia="仿宋_GB2312" w:cs="Times New Roman"/>
          <w:color w:val="000000"/>
          <w:sz w:val="32"/>
          <w:szCs w:val="40"/>
        </w:rPr>
        <w:t>巨鹿好人</w:t>
      </w:r>
      <w:r>
        <w:rPr>
          <w:rFonts w:hint="eastAsia" w:ascii="Times New Roman" w:hAnsi="Times New Roman" w:eastAsia="仿宋_GB2312" w:cs="Times New Roman"/>
          <w:color w:val="000000"/>
          <w:sz w:val="32"/>
          <w:szCs w:val="40"/>
          <w:lang w:eastAsia="zh-CN"/>
        </w:rPr>
        <w:t>”</w:t>
      </w:r>
      <w:r>
        <w:rPr>
          <w:rFonts w:hint="default" w:ascii="Times New Roman" w:hAnsi="Times New Roman" w:eastAsia="仿宋_GB2312" w:cs="Times New Roman"/>
          <w:color w:val="000000"/>
          <w:sz w:val="32"/>
          <w:szCs w:val="40"/>
        </w:rPr>
        <w:t>宣传培育，打造更多文明村镇、单位、校园、家庭。</w:t>
      </w:r>
    </w:p>
    <w:p w14:paraId="52F1BA30">
      <w:pPr>
        <w:pageBreakBefore w:val="0"/>
        <w:widowControl/>
        <w:kinsoku/>
        <w:wordWrap/>
        <w:overflowPunct/>
        <w:topLinePunct w:val="0"/>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40"/>
        </w:rPr>
      </w:pPr>
      <w:r>
        <w:rPr>
          <w:rFonts w:hint="default" w:ascii="Times New Roman" w:hAnsi="Times New Roman" w:eastAsia="仿宋_GB2312" w:cs="Times New Roman"/>
          <w:b/>
          <w:color w:val="000000"/>
          <w:sz w:val="32"/>
          <w:szCs w:val="40"/>
        </w:rPr>
        <w:t>三、厚植培树巨鹿人文精神</w:t>
      </w:r>
    </w:p>
    <w:p w14:paraId="09644738">
      <w:pPr>
        <w:pageBreakBefore w:val="0"/>
        <w:widowControl/>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40"/>
        </w:rPr>
        <w:t>发挥历史文化研究会作用，深度挖掘巨鹿之战、黄巾起义等历史事件以及魏徵、僧一行等历史名人蕴含的勇于斗争、勇于担当、勇于创新的精神内涵和意志品格，涵养新时代巨鹿人文精神，为城市发展塑魂蓄能。</w:t>
      </w:r>
    </w:p>
    <w:p w14:paraId="2A7F5DE1">
      <w:pPr>
        <w:keepNext/>
        <w:keepLines/>
        <w:pageBreakBefore w:val="0"/>
        <w:widowControl/>
        <w:kinsoku/>
        <w:wordWrap/>
        <w:overflowPunct/>
        <w:topLinePunct w:val="0"/>
        <w:autoSpaceDE/>
        <w:autoSpaceDN/>
        <w:bidi w:val="0"/>
        <w:snapToGrid/>
        <w:spacing w:line="570" w:lineRule="exact"/>
        <w:contextualSpacing/>
        <w:jc w:val="center"/>
        <w:textAlignment w:val="auto"/>
        <w:outlineLvl w:val="1"/>
        <w:rPr>
          <w:rFonts w:hint="default" w:ascii="Times New Roman" w:hAnsi="Times New Roman" w:eastAsia="楷体" w:cs="Times New Roman"/>
          <w:b/>
          <w:color w:val="000000"/>
          <w:sz w:val="32"/>
          <w:szCs w:val="28"/>
          <w:lang w:bidi="ar"/>
        </w:rPr>
      </w:pPr>
      <w:bookmarkStart w:id="110" w:name="_Toc1258"/>
      <w:bookmarkStart w:id="111" w:name="_Toc18458"/>
      <w:bookmarkStart w:id="112" w:name="_Toc31482"/>
      <w:r>
        <w:rPr>
          <w:rFonts w:hint="default" w:ascii="Times New Roman" w:hAnsi="Times New Roman" w:eastAsia="楷体" w:cs="Times New Roman"/>
          <w:b/>
          <w:color w:val="000000"/>
          <w:sz w:val="32"/>
          <w:szCs w:val="28"/>
          <w:lang w:bidi="ar"/>
        </w:rPr>
        <w:t xml:space="preserve">第二节 </w:t>
      </w:r>
      <w:r>
        <w:rPr>
          <w:rFonts w:hint="default" w:ascii="Times New Roman" w:hAnsi="Times New Roman" w:eastAsia="楷体_GB2312" w:cs="Times New Roman"/>
          <w:b/>
          <w:bCs/>
          <w:color w:val="000000"/>
          <w:sz w:val="32"/>
          <w:szCs w:val="32"/>
        </w:rPr>
        <w:t>推进农文旅体健深度融合发展</w:t>
      </w:r>
      <w:bookmarkEnd w:id="110"/>
      <w:bookmarkEnd w:id="111"/>
      <w:bookmarkEnd w:id="112"/>
    </w:p>
    <w:p w14:paraId="07B46EB8">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立足千年古郡、宋城文化特色优势，围绕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两园、两赛、两线、多点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文旅发展新格局，大力推动文化体验、特色农业、休闲旅游、体育赛事、康养旅居融合发展，着力打造邢台东部平原水乡。</w:t>
      </w:r>
    </w:p>
    <w:p w14:paraId="0BA201A1">
      <w:pPr>
        <w:pageBreakBefore w:val="0"/>
        <w:numPr>
          <w:ilvl w:val="0"/>
          <w:numId w:val="0"/>
        </w:numPr>
        <w:kinsoku/>
        <w:wordWrap/>
        <w:overflowPunct/>
        <w:topLinePunct w:val="0"/>
        <w:autoSpaceDE/>
        <w:autoSpaceDN/>
        <w:bidi w:val="0"/>
        <w:snapToGrid/>
        <w:spacing w:line="570" w:lineRule="exact"/>
        <w:ind w:firstLine="640" w:firstLineChars="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kern w:val="2"/>
          <w:sz w:val="32"/>
          <w:szCs w:val="32"/>
          <w:lang w:val="en-US" w:eastAsia="zh-CN" w:bidi="ar-SA"/>
        </w:rPr>
        <w:t>一、</w:t>
      </w:r>
      <w:r>
        <w:rPr>
          <w:rFonts w:hint="default" w:ascii="Times New Roman" w:hAnsi="Times New Roman" w:eastAsia="仿宋_GB2312" w:cs="Times New Roman"/>
          <w:b/>
          <w:bCs/>
          <w:color w:val="000000"/>
          <w:sz w:val="32"/>
          <w:szCs w:val="32"/>
        </w:rPr>
        <w:t>做优景区平台</w:t>
      </w:r>
    </w:p>
    <w:p w14:paraId="3919D621">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以大麓生态公园、老漳河水利风景区、金玉庄金银花小镇3个3A级景区为核心，持续加强景区建设，推进升级改造，努力</w:t>
      </w:r>
      <w:r>
        <w:rPr>
          <w:rFonts w:hint="eastAsia" w:eastAsia="仿宋_GB2312" w:cs="Times New Roman"/>
          <w:color w:val="000000"/>
          <w:sz w:val="32"/>
          <w:szCs w:val="32"/>
          <w:lang w:val="en-US" w:eastAsia="zh-CN"/>
        </w:rPr>
        <w:t>实现</w:t>
      </w:r>
      <w:r>
        <w:rPr>
          <w:rFonts w:hint="default" w:ascii="Times New Roman" w:hAnsi="Times New Roman" w:eastAsia="仿宋_GB2312" w:cs="Times New Roman"/>
          <w:color w:val="000000"/>
          <w:sz w:val="32"/>
          <w:szCs w:val="32"/>
        </w:rPr>
        <w:t>4A级景区实现零的突破。</w:t>
      </w:r>
    </w:p>
    <w:p w14:paraId="308566FC">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1.完善基础设施。</w:t>
      </w:r>
      <w:r>
        <w:rPr>
          <w:rFonts w:hint="default" w:ascii="Times New Roman" w:hAnsi="Times New Roman" w:eastAsia="仿宋_GB2312" w:cs="Times New Roman"/>
          <w:color w:val="000000"/>
          <w:sz w:val="32"/>
          <w:szCs w:val="32"/>
        </w:rPr>
        <w:t>推进大麓生态公园北湖区配套建设、老漳河水利风景区配套提升、金玉庄金银花小镇改造升级，对道路、绿地及园区设施进行修缮改造，全面优化景区面貌。同时，立足特点、突出亮点，在大麓生态公园和老漳河水利风景区做足</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水</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文章，在金玉庄凸显</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金银花</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元素，加快打造以大麓生态公园为核心，南湖区北湖区联动互补、错位发展，老漳河水利风景区和金玉庄金银花小镇遥相呼应、各具特色的景区体系。</w:t>
      </w:r>
    </w:p>
    <w:p w14:paraId="7C72AC38">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2.丰富场景业态。</w:t>
      </w:r>
      <w:r>
        <w:rPr>
          <w:rFonts w:hint="default" w:ascii="Times New Roman" w:hAnsi="Times New Roman" w:eastAsia="仿宋_GB2312" w:cs="Times New Roman"/>
          <w:color w:val="000000"/>
          <w:sz w:val="32"/>
          <w:szCs w:val="32"/>
        </w:rPr>
        <w:t>对景区空间布局进行优化，科学划分功能区域，逐步开放草坪、林下、滨水等生态空间，灵活设置帐篷露营、水岸游憩等场地，动态植入休闲驿站、创意集市等服务设施，探索打造萌宠乐园、水上乐园，</w:t>
      </w:r>
      <w:r>
        <w:rPr>
          <w:rFonts w:hint="default" w:ascii="Times New Roman" w:hAnsi="Times New Roman" w:eastAsia="仿宋_GB2312" w:cs="Times New Roman"/>
          <w:color w:val="FF0000"/>
          <w:sz w:val="32"/>
          <w:szCs w:val="32"/>
        </w:rPr>
        <w:t>积极举办灯展、音乐嘉年华等群众性活动，进一步提升景区吸引力。</w:t>
      </w:r>
    </w:p>
    <w:p w14:paraId="6E3B65A1">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3.优化运营机制。</w:t>
      </w:r>
      <w:r>
        <w:rPr>
          <w:rFonts w:hint="default" w:ascii="Times New Roman" w:hAnsi="Times New Roman" w:eastAsia="仿宋_GB2312" w:cs="Times New Roman"/>
          <w:color w:val="000000"/>
          <w:sz w:val="32"/>
          <w:szCs w:val="32"/>
        </w:rPr>
        <w:t>持续完善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国企+第三方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合作运营模式，在坚持公益性的基础上，支持鼓励国企和社会资本开展规模化、品牌化、专业化运营，针对3个景区，实行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一园一策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，将经营收入主要用于提升管理服务，形成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以园养园、良性循环</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的可持续发展模式。</w:t>
      </w:r>
    </w:p>
    <w:p w14:paraId="1BCB6E38">
      <w:pPr>
        <w:pageBreakBefore w:val="0"/>
        <w:numPr>
          <w:ilvl w:val="0"/>
          <w:numId w:val="0"/>
        </w:numPr>
        <w:kinsoku/>
        <w:wordWrap/>
        <w:overflowPunct/>
        <w:topLinePunct w:val="0"/>
        <w:autoSpaceDE/>
        <w:autoSpaceDN/>
        <w:bidi w:val="0"/>
        <w:snapToGrid/>
        <w:spacing w:line="570" w:lineRule="exact"/>
        <w:ind w:firstLine="640" w:firstLineChars="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kern w:val="2"/>
          <w:sz w:val="32"/>
          <w:szCs w:val="32"/>
          <w:lang w:val="en-US" w:eastAsia="zh-CN" w:bidi="ar-SA"/>
        </w:rPr>
        <w:t>二、</w:t>
      </w:r>
      <w:r>
        <w:rPr>
          <w:rFonts w:hint="default" w:ascii="Times New Roman" w:hAnsi="Times New Roman" w:eastAsia="仿宋_GB2312" w:cs="Times New Roman"/>
          <w:b/>
          <w:bCs/>
          <w:color w:val="000000"/>
          <w:sz w:val="32"/>
          <w:szCs w:val="32"/>
        </w:rPr>
        <w:t>做热赛事经济</w:t>
      </w:r>
    </w:p>
    <w:p w14:paraId="01B6031B">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1.做热骑行活动。</w:t>
      </w:r>
      <w:r>
        <w:rPr>
          <w:rFonts w:hint="default" w:ascii="Times New Roman" w:hAnsi="Times New Roman" w:eastAsia="仿宋_GB2312" w:cs="Times New Roman"/>
          <w:color w:val="000000"/>
          <w:sz w:val="32"/>
          <w:szCs w:val="32"/>
        </w:rPr>
        <w:t>积极融入全市骑行赛事布局，深挖巨鹿本地自然资源与文化特色，将骑行和旅游有机结合，积极打造生态骑行风景线。依托老漳河、滏漳灌渠、小漳河55.7公里堤顶路，构建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H</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型骑行网络，通过在滩涂地种植连翘、油菜花等观赏经济作物，形成滨水花廊景观带，并完善补给驿站、智慧导览等配套服务，将文化、旅游和特色农业元素融入骑行活动，打造绿道骑行、生态体验新风尚。</w:t>
      </w:r>
    </w:p>
    <w:p w14:paraId="7544156B">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2.发展垂钓赛事。</w:t>
      </w:r>
      <w:r>
        <w:rPr>
          <w:rFonts w:hint="default" w:ascii="Times New Roman" w:hAnsi="Times New Roman" w:eastAsia="仿宋_GB2312" w:cs="Times New Roman"/>
          <w:color w:val="000000"/>
          <w:sz w:val="32"/>
          <w:szCs w:val="32"/>
        </w:rPr>
        <w:t>持续优化老漳河、大圆塘、鹿栖湖等特色垂钓场地设施，完善赛事服务保障、智慧运营管理等配套服务体系，全力申办全国垂钓锦标赛等国家级赛事，常态化举办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太行泉城·群雄逐鹿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系列赛事活动，打造全国知名垂钓IP。同时，深化以赛促产，大力发展水产养殖、竞技垂钓，开发渔鲜美食、垂钓装备展销等特色业态，联动周边采摘园、民宿推出组合产品套餐，推动赛事流量转化为消费增量，着力打造北方垂钓名城。</w:t>
      </w:r>
    </w:p>
    <w:p w14:paraId="06F477A6">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三、丰富文旅业态</w:t>
      </w:r>
    </w:p>
    <w:p w14:paraId="3476C338">
      <w:pPr>
        <w:pageBreakBefore w:val="0"/>
        <w:kinsoku/>
        <w:wordWrap/>
        <w:overflowPunct/>
        <w:topLinePunct w:val="0"/>
        <w:autoSpaceDE/>
        <w:autoSpaceDN/>
        <w:bidi w:val="0"/>
        <w:snapToGrid/>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围绕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观水、亲水、乐水</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主题，谋划实施20个休闲田园水乡项目，打造精品文旅观光线路，串联18个核心点位，包含宋城遗址、大麓文博苑、寻虎红色小镇等6处历史文化景点，大圆塘国际垂钓基地、凤凰湖等4处滨水休闲平台以及8个四季采摘园，形成集文化体验、休闲娱乐、农事采摘于一体的综合旅游线路。</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1"/>
      </w:tblGrid>
      <w:tr w14:paraId="72CE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51" w:type="dxa"/>
            <w:noWrap w:val="0"/>
            <w:vAlign w:val="top"/>
          </w:tcPr>
          <w:p w14:paraId="2CCC69D2">
            <w:pPr>
              <w:spacing w:line="600" w:lineRule="exact"/>
              <w:jc w:val="center"/>
              <w:rPr>
                <w:rFonts w:hint="default" w:ascii="Times New Roman" w:hAnsi="Times New Roman" w:eastAsia="仿宋" w:cs="Times New Roman"/>
                <w:color w:val="000000"/>
                <w:sz w:val="28"/>
                <w:szCs w:val="28"/>
              </w:rPr>
            </w:pPr>
            <w:r>
              <w:rPr>
                <w:rFonts w:hint="default" w:ascii="Times New Roman" w:hAnsi="Times New Roman" w:eastAsia="楷体" w:cs="Times New Roman"/>
                <w:b/>
                <w:bCs/>
                <w:color w:val="000000"/>
                <w:sz w:val="28"/>
                <w:szCs w:val="28"/>
              </w:rPr>
              <w:t xml:space="preserve">专栏10-1 </w:t>
            </w:r>
            <w:r>
              <w:rPr>
                <w:rFonts w:hint="eastAsia" w:ascii="Times New Roman" w:hAnsi="Times New Roman" w:eastAsia="楷体" w:cs="Times New Roman"/>
                <w:b/>
                <w:bCs/>
                <w:color w:val="000000"/>
                <w:sz w:val="28"/>
                <w:szCs w:val="28"/>
                <w:lang w:eastAsia="zh-CN"/>
              </w:rPr>
              <w:t>“</w:t>
            </w:r>
            <w:r>
              <w:rPr>
                <w:rFonts w:hint="default" w:ascii="Times New Roman" w:hAnsi="Times New Roman" w:eastAsia="楷体" w:cs="Times New Roman"/>
                <w:b/>
                <w:bCs/>
                <w:color w:val="000000"/>
                <w:sz w:val="28"/>
                <w:szCs w:val="28"/>
              </w:rPr>
              <w:t>两园、两线、两赛、多点</w:t>
            </w:r>
            <w:r>
              <w:rPr>
                <w:rFonts w:hint="eastAsia" w:ascii="Times New Roman" w:hAnsi="Times New Roman" w:eastAsia="楷体" w:cs="Times New Roman"/>
                <w:b/>
                <w:bCs/>
                <w:color w:val="000000"/>
                <w:sz w:val="28"/>
                <w:szCs w:val="28"/>
                <w:lang w:eastAsia="zh-CN"/>
              </w:rPr>
              <w:t>”</w:t>
            </w:r>
            <w:r>
              <w:rPr>
                <w:rFonts w:hint="default" w:ascii="Times New Roman" w:hAnsi="Times New Roman" w:eastAsia="楷体" w:cs="Times New Roman"/>
                <w:b/>
                <w:bCs/>
                <w:color w:val="000000"/>
                <w:sz w:val="28"/>
                <w:szCs w:val="28"/>
              </w:rPr>
              <w:t>的文旅格局</w:t>
            </w:r>
          </w:p>
        </w:tc>
      </w:tr>
      <w:tr w14:paraId="3C3C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51" w:type="dxa"/>
            <w:noWrap w:val="0"/>
            <w:vAlign w:val="top"/>
          </w:tcPr>
          <w:p w14:paraId="6425F315">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两园：大麓生态公园和老漳河休闲生态公园。</w:t>
            </w:r>
          </w:p>
          <w:p w14:paraId="454C4340">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两线：</w:t>
            </w:r>
            <w:r>
              <w:rPr>
                <w:rFonts w:hint="eastAsia" w:ascii="Times New Roman" w:hAnsi="Times New Roman" w:eastAsia="仿宋" w:cs="Times New Roman"/>
                <w:color w:val="000000"/>
                <w:sz w:val="24"/>
                <w:szCs w:val="24"/>
                <w:lang w:eastAsia="zh-CN"/>
              </w:rPr>
              <w:t>“</w:t>
            </w:r>
            <w:r>
              <w:rPr>
                <w:rFonts w:hint="default" w:ascii="Times New Roman" w:hAnsi="Times New Roman" w:eastAsia="仿宋" w:cs="Times New Roman"/>
                <w:color w:val="000000"/>
                <w:sz w:val="24"/>
                <w:szCs w:val="24"/>
              </w:rPr>
              <w:t>花海康养</w:t>
            </w:r>
            <w:r>
              <w:rPr>
                <w:rFonts w:hint="eastAsia" w:ascii="Times New Roman" w:hAnsi="Times New Roman" w:eastAsia="仿宋" w:cs="Times New Roman"/>
                <w:color w:val="000000"/>
                <w:sz w:val="24"/>
                <w:szCs w:val="24"/>
                <w:lang w:eastAsia="zh-CN"/>
              </w:rPr>
              <w:t>”</w:t>
            </w:r>
            <w:r>
              <w:rPr>
                <w:rFonts w:hint="default" w:ascii="Times New Roman" w:hAnsi="Times New Roman" w:eastAsia="仿宋" w:cs="Times New Roman"/>
                <w:color w:val="000000"/>
                <w:sz w:val="24"/>
                <w:szCs w:val="24"/>
              </w:rPr>
              <w:t>骑行线，</w:t>
            </w:r>
            <w:r>
              <w:rPr>
                <w:rFonts w:hint="eastAsia" w:ascii="Times New Roman" w:hAnsi="Times New Roman" w:eastAsia="仿宋" w:cs="Times New Roman"/>
                <w:color w:val="000000"/>
                <w:sz w:val="24"/>
                <w:szCs w:val="24"/>
                <w:lang w:eastAsia="zh-CN"/>
              </w:rPr>
              <w:t>“</w:t>
            </w:r>
            <w:r>
              <w:rPr>
                <w:rFonts w:hint="default" w:ascii="Times New Roman" w:hAnsi="Times New Roman" w:eastAsia="仿宋" w:cs="Times New Roman"/>
                <w:color w:val="000000"/>
                <w:sz w:val="24"/>
                <w:szCs w:val="24"/>
              </w:rPr>
              <w:t>古郡寻踪</w:t>
            </w:r>
            <w:r>
              <w:rPr>
                <w:rFonts w:hint="eastAsia" w:ascii="Times New Roman" w:hAnsi="Times New Roman" w:eastAsia="仿宋" w:cs="Times New Roman"/>
                <w:color w:val="000000"/>
                <w:sz w:val="24"/>
                <w:szCs w:val="24"/>
                <w:lang w:eastAsia="zh-CN"/>
              </w:rPr>
              <w:t>”</w:t>
            </w:r>
            <w:r>
              <w:rPr>
                <w:rFonts w:hint="default" w:ascii="Times New Roman" w:hAnsi="Times New Roman" w:eastAsia="仿宋" w:cs="Times New Roman"/>
                <w:color w:val="000000"/>
                <w:sz w:val="24"/>
                <w:szCs w:val="24"/>
              </w:rPr>
              <w:t>文化体验线。</w:t>
            </w:r>
          </w:p>
          <w:p w14:paraId="42EDCBA0">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两赛：垂钓和骑行赛事。</w:t>
            </w:r>
          </w:p>
          <w:p w14:paraId="4055BFD4">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000000"/>
                <w:sz w:val="24"/>
                <w:szCs w:val="24"/>
              </w:rPr>
              <w:t>多点：串联美丽乡村、宋城遗址、采摘园等多个文旅资源节点。</w:t>
            </w:r>
          </w:p>
        </w:tc>
      </w:tr>
    </w:tbl>
    <w:p w14:paraId="00B590EE">
      <w:pPr>
        <w:spacing w:line="600" w:lineRule="exact"/>
        <w:ind w:firstLine="640" w:firstLineChars="200"/>
        <w:rPr>
          <w:rFonts w:hint="default" w:ascii="Times New Roman" w:hAnsi="Times New Roman" w:eastAsia="仿宋_GB2312" w:cs="Times New Roman"/>
          <w:color w:val="000000"/>
          <w:sz w:val="32"/>
          <w:szCs w:val="32"/>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7"/>
      </w:tblGrid>
      <w:tr w14:paraId="1162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67" w:type="dxa"/>
            <w:noWrap w:val="0"/>
            <w:vAlign w:val="center"/>
          </w:tcPr>
          <w:p w14:paraId="0CA947DC">
            <w:pPr>
              <w:spacing w:line="600" w:lineRule="exact"/>
              <w:jc w:val="center"/>
              <w:rPr>
                <w:rFonts w:hint="default" w:ascii="Times New Roman" w:hAnsi="Times New Roman" w:eastAsia="仿宋" w:cs="Times New Roman"/>
                <w:color w:val="000000"/>
                <w:sz w:val="28"/>
                <w:szCs w:val="28"/>
              </w:rPr>
            </w:pPr>
            <w:r>
              <w:rPr>
                <w:rFonts w:hint="default" w:ascii="Times New Roman" w:hAnsi="Times New Roman" w:eastAsia="楷体" w:cs="Times New Roman"/>
                <w:b/>
                <w:bCs/>
                <w:color w:val="000000"/>
                <w:sz w:val="28"/>
                <w:szCs w:val="28"/>
              </w:rPr>
              <w:t>专栏10-2 文旅发展项目</w:t>
            </w:r>
          </w:p>
        </w:tc>
      </w:tr>
      <w:tr w14:paraId="4E7C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867" w:type="dxa"/>
            <w:noWrap w:val="0"/>
            <w:vAlign w:val="center"/>
          </w:tcPr>
          <w:p w14:paraId="7A4C3EF1">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1.洪溢河景区国家AAAA级景区创建工程</w:t>
            </w:r>
          </w:p>
          <w:p w14:paraId="3F3339A4">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2.老漳河景区提升工程</w:t>
            </w:r>
          </w:p>
          <w:p w14:paraId="2AEE8E02">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3.大麓文博苑提升工程</w:t>
            </w:r>
          </w:p>
          <w:p w14:paraId="3A17F6DE">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4.魏征公园提升工程</w:t>
            </w:r>
          </w:p>
          <w:p w14:paraId="22A1E521">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5.数字化中药材产业+药文旅融合发展帮扶产业园（集群）工程</w:t>
            </w:r>
          </w:p>
          <w:p w14:paraId="44F14BD4">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6.宋城遗址公园</w:t>
            </w:r>
          </w:p>
          <w:p w14:paraId="4893C592">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7.特色宋城街区建设项目</w:t>
            </w:r>
          </w:p>
          <w:p w14:paraId="4A747F44">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8.平原水乡建设项目</w:t>
            </w:r>
          </w:p>
        </w:tc>
      </w:tr>
      <w:bookmarkEnd w:id="102"/>
      <w:bookmarkEnd w:id="103"/>
      <w:bookmarkEnd w:id="104"/>
      <w:bookmarkEnd w:id="105"/>
      <w:bookmarkEnd w:id="106"/>
    </w:tbl>
    <w:p w14:paraId="134575EA">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_GB2312" w:cs="Times New Roman"/>
          <w:b/>
          <w:bCs/>
          <w:color w:val="000000"/>
          <w:sz w:val="32"/>
          <w:szCs w:val="32"/>
        </w:rPr>
      </w:pPr>
      <w:bookmarkStart w:id="113" w:name="_Toc219380120"/>
      <w:bookmarkStart w:id="114" w:name="_Toc24971"/>
      <w:bookmarkStart w:id="115" w:name="_Toc21696"/>
      <w:bookmarkStart w:id="116" w:name="_Toc7395"/>
      <w:r>
        <w:rPr>
          <w:rFonts w:hint="default" w:ascii="Times New Roman" w:hAnsi="Times New Roman" w:eastAsia="楷体_GB2312" w:cs="Times New Roman"/>
          <w:b/>
          <w:bCs/>
          <w:color w:val="000000"/>
          <w:sz w:val="32"/>
          <w:szCs w:val="32"/>
        </w:rPr>
        <w:t xml:space="preserve">第三节 </w:t>
      </w:r>
      <w:bookmarkEnd w:id="113"/>
      <w:bookmarkEnd w:id="114"/>
      <w:r>
        <w:rPr>
          <w:rFonts w:hint="default" w:ascii="Times New Roman" w:hAnsi="Times New Roman" w:eastAsia="楷体_GB2312" w:cs="Times New Roman"/>
          <w:b/>
          <w:bCs/>
          <w:color w:val="000000"/>
          <w:sz w:val="32"/>
          <w:szCs w:val="32"/>
        </w:rPr>
        <w:t>加快文化事业和文化产业发展</w:t>
      </w:r>
    </w:p>
    <w:p w14:paraId="420F2B91">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一、打造文化品牌</w:t>
      </w:r>
    </w:p>
    <w:p w14:paraId="537EF682">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1.叫响巨鹿之战名片</w:t>
      </w:r>
      <w:r>
        <w:rPr>
          <w:rFonts w:hint="default" w:ascii="Times New Roman" w:hAnsi="Times New Roman" w:eastAsia="仿宋_GB2312" w:cs="Times New Roman"/>
          <w:color w:val="000000"/>
          <w:sz w:val="32"/>
          <w:szCs w:val="32"/>
        </w:rPr>
        <w:t>。深度挖掘巨鹿之战历史内涵，联合专业团队打造话剧等文化载体，开发系列文创、研学产品，探索古战场还原复刻、场景演绎，让群众更直观感受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巨鹿之战</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的烽火记忆，让千年古战文化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活起来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。同时，深耕历史文化IP，联动魏徵故里等文化资源，丰富历史文化品牌内涵，形成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一核引领、多点支撑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的历史文化品牌格局。</w:t>
      </w:r>
    </w:p>
    <w:p w14:paraId="4887BCB0">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2.打造宋城文化品牌。</w:t>
      </w:r>
      <w:r>
        <w:rPr>
          <w:rFonts w:hint="default" w:ascii="Times New Roman" w:hAnsi="Times New Roman" w:eastAsia="仿宋_GB2312" w:cs="Times New Roman"/>
          <w:color w:val="000000"/>
          <w:sz w:val="32"/>
          <w:szCs w:val="32"/>
        </w:rPr>
        <w:t>发挥历史文化研究会和钜鹿故城考古工作站作用，有序推进巨鹿故城抢救性发掘，组建由考古、历史、规划领域专家组成的申报顾问团，完成申报书编制与省级审核上报，同步开展遗址保护管理规范化建设。努力争取列入全国重点文物保护单位名录。做好遗址与文物开发、保护、利用。谋划建设宋城遗址博物馆、宋城遗址公园、宋城文化体验区，植入非遗工坊、汉服体验、宋式演艺等沉浸场景，融合美食、文创等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可感可玩可购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的消费闭环，塑造和推广宋城文化品牌，打造历史文化名城。</w:t>
      </w:r>
    </w:p>
    <w:p w14:paraId="3D646BC0">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二、提升文化服务</w:t>
      </w:r>
    </w:p>
    <w:p w14:paraId="303BC4F4">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1.持续优化文化服务</w:t>
      </w:r>
      <w:r>
        <w:rPr>
          <w:rFonts w:hint="default" w:ascii="Times New Roman" w:hAnsi="Times New Roman" w:eastAsia="仿宋_GB2312" w:cs="Times New Roman"/>
          <w:color w:val="000000"/>
          <w:sz w:val="32"/>
          <w:szCs w:val="32"/>
        </w:rPr>
        <w:t>，实施大麓文博苑提升工程，对县图书馆、文化馆进行改造升级，提升县城优质文化资源供给。规范打造乡镇综合文化站、村文化服务中心，激发基层文化活力，着力打造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15分钟文化生活圈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p>
    <w:p w14:paraId="70AD0906">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2.丰富文化惠民供给</w:t>
      </w:r>
      <w:r>
        <w:rPr>
          <w:rFonts w:hint="default" w:ascii="Times New Roman" w:hAnsi="Times New Roman" w:eastAsia="仿宋_GB2312" w:cs="Times New Roman"/>
          <w:color w:val="000000"/>
          <w:sz w:val="32"/>
          <w:szCs w:val="32"/>
        </w:rPr>
        <w:t>，大力实施文化惠民、文化下乡工程，常态化开展文化沙龙、惠民演出、戏曲进乡村、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四季村晚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等活动，推动文化资源向基层下沉，每年组织各类文化进基层活动100场以上，覆盖群众超8万人次，更好满足乡村群众精神文明需求。</w:t>
      </w:r>
    </w:p>
    <w:p w14:paraId="1D13BBCD">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3.健全非物质文化遗产保护传承体系</w:t>
      </w:r>
      <w:r>
        <w:rPr>
          <w:rFonts w:hint="default" w:ascii="Times New Roman" w:hAnsi="Times New Roman" w:eastAsia="仿宋_GB2312" w:cs="Times New Roman"/>
          <w:color w:val="000000"/>
          <w:sz w:val="32"/>
          <w:szCs w:val="32"/>
        </w:rPr>
        <w:t>，实施非遗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活态传承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工程，重点推进国家级非遗四股弦、省级非遗洪拳、乱弹、手织汉锦、道教音乐等项目的保护与发展，争取专项保护资金用于剧目创作、技艺传承。建立非遗项目分级保护名录，力争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期间新增市级以上非遗项目2-5项，培育市级以上非遗传承人2-6名。搭建非遗展示推广平台，依托文旅活动、展会等媒体渠道，扩大巨鹿非遗影响力，推动非遗项目进校园、进社区、进景区，让非遗文化薪火相传。</w:t>
      </w:r>
    </w:p>
    <w:p w14:paraId="2DA73A10">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三、发展文化产业</w:t>
      </w:r>
    </w:p>
    <w:p w14:paraId="5C25A4E9">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1.创作文艺精品。</w:t>
      </w:r>
      <w:r>
        <w:rPr>
          <w:rFonts w:hint="default" w:ascii="Times New Roman" w:hAnsi="Times New Roman" w:eastAsia="仿宋_GB2312" w:cs="Times New Roman"/>
          <w:color w:val="000000"/>
          <w:sz w:val="32"/>
          <w:szCs w:val="32"/>
        </w:rPr>
        <w:t>积极培育本土文化创作团队，鼓励创作反映巨鹿发展变迁、民俗风情的文学、美术、音乐等作品，加快启动《巨鹿之战》话剧及完成《遇见巨鹿》等书籍的创作拍摄，讲好巨鹿故事。</w:t>
      </w:r>
    </w:p>
    <w:p w14:paraId="0D9C2E00">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2.做强文化产业。</w:t>
      </w:r>
      <w:r>
        <w:rPr>
          <w:rFonts w:hint="default" w:ascii="Times New Roman" w:hAnsi="Times New Roman" w:eastAsia="仿宋_GB2312" w:cs="Times New Roman"/>
          <w:color w:val="000000"/>
          <w:sz w:val="32"/>
          <w:szCs w:val="32"/>
        </w:rPr>
        <w:t>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七夕乞巧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文化品牌为纽带，大力发展手织汉锦、老粗布等特色产业，支持大麓古纺等文化产品经营主体升级文创矩阵、打造特色产品，带动全县文化产业加快壮大。</w:t>
      </w:r>
    </w:p>
    <w:p w14:paraId="4B684A22">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3.丰富文化载体。</w:t>
      </w:r>
      <w:r>
        <w:rPr>
          <w:rFonts w:hint="default" w:ascii="Times New Roman" w:hAnsi="Times New Roman" w:eastAsia="仿宋_GB2312" w:cs="Times New Roman"/>
          <w:color w:val="000000"/>
          <w:sz w:val="32"/>
          <w:szCs w:val="32"/>
        </w:rPr>
        <w:t>联合专业机构，深挖巨鹿历史文化、红色文化、民俗文化资源，打造一批文化新场景。特别是，加强与影视剧组、媒体平台合作，争取更多影视项目在巨鹿取景拍摄，提升县域文化知名度。</w:t>
      </w:r>
    </w:p>
    <w:p w14:paraId="103FDE09">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color w:val="000000"/>
          <w:sz w:val="32"/>
          <w:szCs w:val="32"/>
        </w:rPr>
      </w:pPr>
    </w:p>
    <w:p w14:paraId="09481EBB">
      <w:pPr>
        <w:keepNext w:val="0"/>
        <w:keepLines w:val="0"/>
        <w:pageBreakBefore w:val="0"/>
        <w:widowControl w:val="0"/>
        <w:numPr>
          <w:ilvl w:val="0"/>
          <w:numId w:val="0"/>
        </w:numPr>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r>
        <w:rPr>
          <w:rFonts w:hint="default" w:ascii="Times New Roman" w:hAnsi="Times New Roman" w:eastAsia="黑体" w:cs="Times New Roman"/>
          <w:bCs/>
          <w:color w:val="000000"/>
          <w:kern w:val="2"/>
          <w:sz w:val="32"/>
          <w:szCs w:val="28"/>
          <w:lang w:val="en-US" w:eastAsia="zh-CN" w:bidi="ar-SA"/>
        </w:rPr>
        <w:br w:type="page"/>
      </w:r>
      <w:r>
        <w:rPr>
          <w:rFonts w:hint="default" w:ascii="Times New Roman" w:hAnsi="Times New Roman" w:eastAsia="黑体" w:cs="Times New Roman"/>
          <w:bCs/>
          <w:color w:val="000000"/>
          <w:kern w:val="2"/>
          <w:sz w:val="32"/>
          <w:szCs w:val="28"/>
          <w:lang w:val="en-US" w:eastAsia="zh-CN" w:bidi="ar-SA"/>
        </w:rPr>
        <w:t xml:space="preserve">第十一章  </w:t>
      </w:r>
      <w:r>
        <w:rPr>
          <w:rFonts w:hint="default" w:ascii="Times New Roman" w:hAnsi="Times New Roman" w:eastAsia="黑体" w:cs="Times New Roman"/>
          <w:bCs/>
          <w:color w:val="000000"/>
          <w:sz w:val="32"/>
          <w:szCs w:val="28"/>
        </w:rPr>
        <w:t>坚持以人民为中心的发展思想，扎实推进全体人民</w:t>
      </w:r>
    </w:p>
    <w:p w14:paraId="5B5F2734">
      <w:pPr>
        <w:keepNext w:val="0"/>
        <w:keepLines w:val="0"/>
        <w:pageBreakBefore w:val="0"/>
        <w:widowControl w:val="0"/>
        <w:numPr>
          <w:ilvl w:val="0"/>
          <w:numId w:val="0"/>
        </w:numPr>
        <w:kinsoku/>
        <w:wordWrap/>
        <w:overflowPunct w:val="0"/>
        <w:topLinePunct w:val="0"/>
        <w:autoSpaceDE w:val="0"/>
        <w:autoSpaceDN w:val="0"/>
        <w:bidi w:val="0"/>
        <w:spacing w:line="570" w:lineRule="exact"/>
        <w:contextualSpacing/>
        <w:jc w:val="center"/>
        <w:textAlignment w:val="auto"/>
        <w:outlineLvl w:val="0"/>
        <w:rPr>
          <w:rFonts w:hint="default" w:ascii="Times New Roman" w:hAnsi="Times New Roman" w:eastAsia="黑体" w:cs="Times New Roman"/>
          <w:bCs/>
          <w:color w:val="000000"/>
          <w:sz w:val="32"/>
          <w:szCs w:val="28"/>
        </w:rPr>
      </w:pPr>
      <w:r>
        <w:rPr>
          <w:rFonts w:hint="default" w:ascii="Times New Roman" w:hAnsi="Times New Roman" w:eastAsia="黑体" w:cs="Times New Roman"/>
          <w:bCs/>
          <w:color w:val="000000"/>
          <w:sz w:val="32"/>
          <w:szCs w:val="28"/>
        </w:rPr>
        <w:t>共同富裕</w:t>
      </w:r>
      <w:bookmarkEnd w:id="115"/>
      <w:bookmarkEnd w:id="116"/>
    </w:p>
    <w:p w14:paraId="1EAAEC27">
      <w:pPr>
        <w:keepNext w:val="0"/>
        <w:keepLines w:val="0"/>
        <w:pageBreakBefore w:val="0"/>
        <w:widowControl w:val="0"/>
        <w:kinsoku/>
        <w:wordWrap/>
        <w:overflowPunct w:val="0"/>
        <w:topLinePunct w:val="0"/>
        <w:autoSpaceDE w:val="0"/>
        <w:autoSpaceDN w:val="0"/>
        <w:bidi w:val="0"/>
        <w:adjustRightIn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坚持尽力而为、量力而行，聚焦群众最关心最直接最现实的利益问题，每年实施一批民生实事，持续优化公共服务供给，提升群众生活品质。</w:t>
      </w:r>
    </w:p>
    <w:p w14:paraId="5A454D22">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楷体" w:cs="Times New Roman"/>
          <w:b/>
          <w:color w:val="000000"/>
          <w:sz w:val="32"/>
          <w:szCs w:val="28"/>
          <w:lang w:bidi="ar"/>
        </w:rPr>
      </w:pPr>
      <w:bookmarkStart w:id="117" w:name="_Toc27371"/>
      <w:bookmarkStart w:id="118" w:name="_Toc31333"/>
      <w:r>
        <w:rPr>
          <w:rFonts w:hint="default" w:ascii="Times New Roman" w:hAnsi="Times New Roman" w:eastAsia="楷体" w:cs="Times New Roman"/>
          <w:b/>
          <w:color w:val="000000"/>
          <w:sz w:val="32"/>
          <w:szCs w:val="28"/>
          <w:lang w:bidi="ar"/>
        </w:rPr>
        <w:t>第一节 持续用力稳就业增收入</w:t>
      </w:r>
      <w:bookmarkEnd w:id="117"/>
      <w:bookmarkEnd w:id="118"/>
    </w:p>
    <w:p w14:paraId="18A8BF8B">
      <w:pPr>
        <w:keepNext w:val="0"/>
        <w:keepLines w:val="0"/>
        <w:pageBreakBefore w:val="0"/>
        <w:widowControl w:val="0"/>
        <w:kinsoku/>
        <w:wordWrap/>
        <w:overflowPunct w:val="0"/>
        <w:topLinePunct w:val="0"/>
        <w:autoSpaceDE w:val="0"/>
        <w:autoSpaceDN w:val="0"/>
        <w:bidi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就业是民生之本，收入是民生之源。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时期，必须坚持就业优先战略，将稳定和扩大就业作为经济社会发展的重要目标，健全有利于更充分更高质量就业的促进机制，着力破解结构性就业矛盾，多措并举拓宽城乡居民增收渠道，实现经济增长与就业扩容、收入增长互促共进。</w:t>
      </w:r>
    </w:p>
    <w:p w14:paraId="2B6CB097">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一、深入实施就业优先与产业协同战略</w:t>
      </w:r>
    </w:p>
    <w:p w14:paraId="0F89C4D4">
      <w:pPr>
        <w:keepNext w:val="0"/>
        <w:keepLines w:val="0"/>
        <w:pageBreakBefore w:val="0"/>
        <w:widowControl w:val="0"/>
        <w:kinsoku/>
        <w:wordWrap/>
        <w:overflowPunct w:val="0"/>
        <w:topLinePunct w:val="0"/>
        <w:autoSpaceDE w:val="0"/>
        <w:autoSpaceDN w:val="0"/>
        <w:bidi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强化就业政策与宏观经济、产业、投资、消费等政策的协同联动，推动县域产业结构优化升级与就业扩容提质深度融合、互促共进。聚焦特色产业培育适配岗位，紧密围绕巨鹿县农村电商、数字文旅等数字经济，金银花、高油酸花生等特色农产品绿色深加工的绿色经济，以及依托全国医养结合示范县优势的银发经济等新兴增长点，动态分析人才需求，积极培育和开发电商运营师、数字化营销员、健康照护师、农产品质量安全检测员等适配新职业与新岗位，实现产业发展与就业增长的同频共振。升级城乡就业服务网络，深化拓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服务、创新、保障</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三重体系建设成果，推动县乡村三级就业创业服务网络功能升级。</w:t>
      </w:r>
      <w:bookmarkStart w:id="119" w:name="OLE_LINK169"/>
      <w:r>
        <w:rPr>
          <w:rFonts w:hint="default" w:ascii="Times New Roman" w:hAnsi="Times New Roman" w:eastAsia="仿宋_GB2312" w:cs="Times New Roman"/>
          <w:color w:val="000000"/>
          <w:sz w:val="32"/>
          <w:szCs w:val="32"/>
        </w:rPr>
        <w:t>整合县创业大学、人力资源服务产业园及乡镇创业孵化基地资源，</w:t>
      </w:r>
      <w:bookmarkEnd w:id="119"/>
      <w:r>
        <w:rPr>
          <w:rFonts w:hint="default" w:ascii="Times New Roman" w:hAnsi="Times New Roman" w:eastAsia="仿宋_GB2312" w:cs="Times New Roman"/>
          <w:color w:val="000000"/>
          <w:sz w:val="32"/>
          <w:szCs w:val="32"/>
        </w:rPr>
        <w:t>打造集政策咨询、职业指导、技能培训、项目孵化于一体的综合性服务平台，为城乡劳动者提供均等化、精准化的就业服务，系统性推动城乡就业创业一体化发展。</w:t>
      </w:r>
    </w:p>
    <w:p w14:paraId="47770931">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二、增强创业带动就业的倍增效应</w:t>
      </w:r>
    </w:p>
    <w:p w14:paraId="271FF280">
      <w:pPr>
        <w:keepNext w:val="0"/>
        <w:keepLines w:val="0"/>
        <w:pageBreakBefore w:val="0"/>
        <w:widowControl w:val="0"/>
        <w:kinsoku/>
        <w:wordWrap/>
        <w:overflowPunct w:val="0"/>
        <w:topLinePunct w:val="0"/>
        <w:autoSpaceDE w:val="0"/>
        <w:autoSpaceDN w:val="0"/>
        <w:bidi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着力优化创业生态，提升创业服务能级，充分发挥创业带动就业的杠杆作用。优化全链条创业支持，深化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放管服</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改革，加强创业担保贷款、创业项目孵化、创业补贴等政策的集成与落实。重点支持高校毕业生、返乡农民工等群体在共享工厂、零工经济、平台经济等新业态领域创业创新。开展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创业+技能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融合培训，实施针对性、前瞻性的创业能力提升计划。将针对特色农业的电商直播、面向医养产业的健康管理、契合装备制造的数控技术等本土急需的职业技能培训，与市场分析、商业模式、企业管理等创业核心课程紧密结合，提升创业项目的存活率与竞争力，以创业成功带动更多就业。</w:t>
      </w:r>
    </w:p>
    <w:p w14:paraId="5287F8AE">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三、精准做好重点群体就业保障</w:t>
      </w:r>
    </w:p>
    <w:p w14:paraId="2E4B22E3">
      <w:pPr>
        <w:keepNext w:val="0"/>
        <w:keepLines w:val="0"/>
        <w:pageBreakBefore w:val="0"/>
        <w:widowControl w:val="0"/>
        <w:kinsoku/>
        <w:wordWrap/>
        <w:overflowPunct w:val="0"/>
        <w:topLinePunct w:val="0"/>
        <w:autoSpaceDE w:val="0"/>
        <w:autoSpaceDN w:val="0"/>
        <w:bidi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分类施策、精准帮扶，筑牢重点群体就业底线，确保零就业家庭动态清零。拓宽高校毕业生就业渠道，引导其投身本地高端装备制造、生物健康、现代文旅等主导产业和战略性新兴产业。发挥好青年就业见习基地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缓冲带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练兵场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作用，提升就业能力。依托规范化、智能化的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巨鹿零工市场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线上线下平台，高效匹配金银花季节性采收、建筑装修、物流配送等灵活用工需求。打造智慧零工服务品牌，全面升级以县级智慧零工市场为枢纽、乡镇（社区）服务站为节点的线下服务网络，并深度融合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巨鹿零工市场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线上小程序，实现岗位信息</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一键推送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、供需双方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即时快招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。推广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零工宝</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等灵活就业人员职业伤害保障模式，提升就业质量与安全感，使其成为促进农民工增收的重要渠道。强化退役军人就业扶持，打造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定岗就业+定制培养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一体化教育培训体系，强化面向应急管理、智慧物流、基层社会治理等方向的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订单式</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技能培训和就业对接。兜牢就业困难人员底线，健全实名制动态管理和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一对一</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就业援助机制，依托城乡公益性岗位、社区公共服务及医养结合机构的辅助性岗位进行托底安置。</w:t>
      </w:r>
    </w:p>
    <w:p w14:paraId="198949F7">
      <w:pPr>
        <w:keepNext w:val="0"/>
        <w:keepLines w:val="0"/>
        <w:pageBreakBefore w:val="0"/>
        <w:widowControl w:val="0"/>
        <w:kinsoku/>
        <w:wordWrap/>
        <w:overflowPunct w:val="0"/>
        <w:topLinePunct w:val="0"/>
        <w:autoSpaceDE w:val="0"/>
        <w:autoSpaceDN w:val="0"/>
        <w:bidi w:val="0"/>
        <w:spacing w:line="570" w:lineRule="exact"/>
        <w:ind w:firstLine="640"/>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四、完善现代就业支持与收入增长体系</w:t>
      </w:r>
    </w:p>
    <w:p w14:paraId="2EE16253">
      <w:pPr>
        <w:keepNext w:val="0"/>
        <w:keepLines w:val="0"/>
        <w:pageBreakBefore w:val="0"/>
        <w:widowControl w:val="0"/>
        <w:kinsoku/>
        <w:wordWrap/>
        <w:overflowPunct w:val="0"/>
        <w:topLinePunct w:val="0"/>
        <w:autoSpaceDE w:val="0"/>
        <w:autoSpaceDN w:val="0"/>
        <w:bidi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构建覆盖全民、贯穿全程、辐射全域、便捷高效的就业公共服务体系，以技能提升促收入增长。同时，强化巨鹿县职教中心与本地特色产业集群的深度对接，大力开展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冠名班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、校企共建实训基地等产教融合培养模式，确保人才培养与企业需求无缝衔接。研究制定吸引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人才回流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激励政策，鼓励青年返乡参与电商、文旅、现代农业等领域实际运营。实施技能增收行动计划，完善技能人才薪酬分配与激励制度，推动企业建立健全基于岗位价值、能力素质和业绩贡献的技能人才薪酬分配机制。实施城乡居民技能提升与增收计划，畅通技能人才职业发展通道，实现技能提升、就业稳定与收入增长的良性循环。</w:t>
      </w:r>
    </w:p>
    <w:p w14:paraId="4027CE15">
      <w:pPr>
        <w:keepNext w:val="0"/>
        <w:keepLines w:val="0"/>
        <w:pageBreakBefore w:val="0"/>
        <w:widowControl w:val="0"/>
        <w:kinsoku/>
        <w:wordWrap/>
        <w:overflowPunct w:val="0"/>
        <w:topLinePunct w:val="0"/>
        <w:autoSpaceDE w:val="0"/>
        <w:autoSpaceDN w:val="0"/>
        <w:bidi w:val="0"/>
        <w:spacing w:line="570" w:lineRule="exact"/>
        <w:contextualSpacing/>
        <w:jc w:val="center"/>
        <w:textAlignment w:val="auto"/>
        <w:outlineLvl w:val="1"/>
        <w:rPr>
          <w:rFonts w:hint="default" w:ascii="Times New Roman" w:hAnsi="Times New Roman" w:eastAsia="仿宋_GB2312" w:cs="Times New Roman"/>
          <w:color w:val="000000"/>
          <w:sz w:val="32"/>
          <w:szCs w:val="32"/>
        </w:rPr>
      </w:pPr>
      <w:bookmarkStart w:id="120" w:name="_Toc28603"/>
      <w:bookmarkStart w:id="121" w:name="_Toc31610"/>
      <w:r>
        <w:rPr>
          <w:rFonts w:hint="default" w:ascii="Times New Roman" w:hAnsi="Times New Roman" w:eastAsia="楷体" w:cs="Times New Roman"/>
          <w:b/>
          <w:color w:val="000000"/>
          <w:sz w:val="32"/>
          <w:szCs w:val="28"/>
          <w:lang w:bidi="ar"/>
        </w:rPr>
        <w:t>第二节 办好人民满意的教育</w:t>
      </w:r>
      <w:bookmarkEnd w:id="120"/>
      <w:bookmarkEnd w:id="121"/>
    </w:p>
    <w:p w14:paraId="588D1C6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bookmarkStart w:id="122" w:name="_Toc2940"/>
      <w:bookmarkStart w:id="123" w:name="_Toc32603"/>
      <w:bookmarkStart w:id="124" w:name="_Toc32368"/>
      <w:bookmarkStart w:id="125" w:name="_Toc6906"/>
      <w:bookmarkStart w:id="126" w:name="_Toc27766"/>
      <w:r>
        <w:rPr>
          <w:rFonts w:hint="default" w:ascii="Times New Roman" w:hAnsi="Times New Roman" w:eastAsia="仿宋_GB2312" w:cs="Times New Roman"/>
          <w:b/>
          <w:color w:val="000000"/>
          <w:sz w:val="32"/>
          <w:szCs w:val="32"/>
        </w:rPr>
        <w:t>一、优化教育资源配置</w:t>
      </w:r>
    </w:p>
    <w:p w14:paraId="60DC73E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1.统筹学校布局规划。</w:t>
      </w:r>
      <w:r>
        <w:rPr>
          <w:rFonts w:hint="default" w:ascii="Times New Roman" w:hAnsi="Times New Roman" w:eastAsia="仿宋_GB2312" w:cs="Times New Roman"/>
          <w:color w:val="000000"/>
          <w:sz w:val="32"/>
          <w:szCs w:val="32"/>
        </w:rPr>
        <w:t>建立完善学龄人口监测预警与科学规划机制，搭建全县常住学龄人口动态数据库，针对学龄人口变化趋势，将学校建设重点由过去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增学位</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为主，调整到统筹增加和改善学位、床位，实现教育资源精准配置。持续优化学校布局，建好乡镇寄宿制小学，推动小、散、弱的农村学校生源向基础好、质量高、学位有富余的乡镇寄宿制学校集中，办好必要保留的乡村小规模学校。在县城北部新区规划建设巨鹿县第三中学、第四中学等改善初中学位不足，应对高中就学高峰。</w:t>
      </w:r>
    </w:p>
    <w:p w14:paraId="60401406">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2.统筹调配教师资源。</w:t>
      </w:r>
      <w:r>
        <w:rPr>
          <w:rFonts w:hint="default" w:ascii="Times New Roman" w:hAnsi="Times New Roman" w:eastAsia="仿宋_GB2312" w:cs="Times New Roman"/>
          <w:color w:val="000000"/>
          <w:sz w:val="32"/>
          <w:szCs w:val="32"/>
        </w:rPr>
        <w:t>在教师编制总量范围内，适时动态调整，实现教师编制增减与学龄人口变化相适应。建立教师流动调配机制，推行教师编制、职称、岗位等在学区、集团内统筹管理。加强教师精准培训，提升教师教学能力，引导和帮助有条件、有意愿的义务教育阶段教师获得紧缺学科或更高学段教师资格。推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共享教师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模式，促进学区和集团内骨干教师交流轮岗，小学科教师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走教</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，保障中小规模成员学校开齐开足开好国家课程。加大优秀教师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城区—乡镇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优质—薄弱</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学校间</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双向交流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力度，实现优质师资柔性流动。</w:t>
      </w:r>
    </w:p>
    <w:p w14:paraId="2896A2C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二、持续改善办学条件</w:t>
      </w:r>
    </w:p>
    <w:p w14:paraId="68101AD0">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围绕学前教育、义务教育、高中教育，加快补齐短板，推动扩容提质，整体推进办学条件改善，全面提升育人环境和质量。</w:t>
      </w:r>
    </w:p>
    <w:p w14:paraId="21BAA3B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1.在学前教育上，</w:t>
      </w:r>
      <w:r>
        <w:rPr>
          <w:rFonts w:hint="default" w:ascii="Times New Roman" w:hAnsi="Times New Roman" w:eastAsia="仿宋_GB2312" w:cs="Times New Roman"/>
          <w:color w:val="000000"/>
          <w:sz w:val="32"/>
          <w:szCs w:val="32"/>
        </w:rPr>
        <w:t>完成第一幼儿园、第四幼儿园搬迁升级，加强新建小区幼儿园配套建设，落实和完善普惠性民办幼儿园扶持政策，加大薄弱园改造提升力度，稳步提升公办园和普惠性民办园学位供给，缩小城乡之间、园与园之间的学前教育发展差距。</w:t>
      </w:r>
    </w:p>
    <w:p w14:paraId="01DF9E0D">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2.在义务教育上，</w:t>
      </w:r>
      <w:r>
        <w:rPr>
          <w:rFonts w:hint="default" w:ascii="Times New Roman" w:hAnsi="Times New Roman" w:eastAsia="仿宋_GB2312" w:cs="Times New Roman"/>
          <w:color w:val="000000"/>
          <w:sz w:val="32"/>
          <w:szCs w:val="32"/>
        </w:rPr>
        <w:t>聚焦学校设施老旧、办学条件有限等问题，推动西郭城小学教学楼、县第四中学等一批新建改建扩建项目，扩充优质教育资源。提升寄宿制中小学办学条件和管理水平，实施农村学校温暖工程，改造农村学校取暖设施，全面提升教室、师生宿舍取暖效果。实施全县中小学校校园全域智管平台建设，构建</w:t>
      </w:r>
      <w:r>
        <w:rPr>
          <w:rFonts w:hint="default" w:ascii="Times New Roman" w:hAnsi="Times New Roman" w:eastAsia="仿宋_GB2312" w:cs="Times New Roman"/>
          <w:color w:val="000000"/>
          <w:spacing w:val="-6"/>
          <w:sz w:val="32"/>
          <w:szCs w:val="32"/>
        </w:rPr>
        <w:t>覆盖校园安防、明厨亮灶、食堂集采、巡课教研等全方位监管平台，实现</w:t>
      </w:r>
      <w:r>
        <w:rPr>
          <w:rFonts w:hint="eastAsia" w:ascii="Times New Roman" w:hAnsi="Times New Roman" w:eastAsia="仿宋_GB2312" w:cs="Times New Roman"/>
          <w:color w:val="000000"/>
          <w:spacing w:val="-6"/>
          <w:sz w:val="32"/>
          <w:szCs w:val="32"/>
          <w:lang w:eastAsia="zh-CN"/>
        </w:rPr>
        <w:t>“</w:t>
      </w:r>
      <w:r>
        <w:rPr>
          <w:rFonts w:hint="default" w:ascii="Times New Roman" w:hAnsi="Times New Roman" w:eastAsia="仿宋_GB2312" w:cs="Times New Roman"/>
          <w:color w:val="000000"/>
          <w:spacing w:val="-6"/>
          <w:sz w:val="32"/>
          <w:szCs w:val="32"/>
        </w:rPr>
        <w:t>全域覆盖、全时可用</w:t>
      </w:r>
      <w:r>
        <w:rPr>
          <w:rFonts w:hint="eastAsia" w:ascii="Times New Roman" w:hAnsi="Times New Roman" w:eastAsia="仿宋_GB2312" w:cs="Times New Roman"/>
          <w:color w:val="000000"/>
          <w:spacing w:val="-6"/>
          <w:sz w:val="32"/>
          <w:szCs w:val="32"/>
          <w:lang w:eastAsia="zh-CN"/>
        </w:rPr>
        <w:t>”</w:t>
      </w:r>
      <w:r>
        <w:rPr>
          <w:rFonts w:hint="default" w:ascii="Times New Roman" w:hAnsi="Times New Roman" w:eastAsia="仿宋_GB2312" w:cs="Times New Roman"/>
          <w:color w:val="000000"/>
          <w:spacing w:val="-6"/>
          <w:sz w:val="32"/>
          <w:szCs w:val="32"/>
        </w:rPr>
        <w:t>的中小学校园安全智能管理。</w:t>
      </w:r>
    </w:p>
    <w:p w14:paraId="0711A1D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3.在高中教育上，</w:t>
      </w:r>
      <w:r>
        <w:rPr>
          <w:rFonts w:hint="default" w:ascii="Times New Roman" w:hAnsi="Times New Roman" w:eastAsia="仿宋_GB2312" w:cs="Times New Roman"/>
          <w:color w:val="000000"/>
          <w:sz w:val="32"/>
          <w:szCs w:val="32"/>
        </w:rPr>
        <w:t>重点推进第三中学新建项目实施，完善教学楼、综合楼、标准化操场等配套设施，扩大优质学位供给。同时优化现有学校办学环境，升级科创中心、智慧教室等数字化设施，通过标准化建设、数字化赋能与资源均衡配置，推动高中教育优质特色发展，让学生在家门口享有高质量教育。</w:t>
      </w:r>
    </w:p>
    <w:p w14:paraId="4D4A520A">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三、深化教育管理体制改革</w:t>
      </w:r>
    </w:p>
    <w:p w14:paraId="2501F0B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1.深化</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集团化办学</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w:t>
      </w:r>
      <w:r>
        <w:rPr>
          <w:rFonts w:hint="default" w:ascii="Times New Roman" w:hAnsi="Times New Roman" w:eastAsia="仿宋_GB2312" w:cs="Times New Roman"/>
          <w:color w:val="000000"/>
          <w:sz w:val="32"/>
          <w:szCs w:val="32"/>
        </w:rPr>
        <w:t>推进巨中教育集团、二中教育集团积极探索在招生管理、教师挂职交流、跟岗学习、集体备课、双师课堂、教研活动、考核评价等方面的统筹管理，协调联动，达到优势互补，共同发展。推动职业教育与普通高中在各成体系的基础上实现沟通衔接、融通发展，为学生在不同成长阶段提供多样化选择，畅通成才路径。</w:t>
      </w:r>
    </w:p>
    <w:p w14:paraId="6CF25B41">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2.深化</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大学区管理</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w:t>
      </w:r>
      <w:r>
        <w:rPr>
          <w:rFonts w:hint="default" w:ascii="Times New Roman" w:hAnsi="Times New Roman" w:eastAsia="仿宋_GB2312" w:cs="Times New Roman"/>
          <w:color w:val="000000"/>
          <w:sz w:val="32"/>
          <w:szCs w:val="32"/>
        </w:rPr>
        <w:t>聚焦组建的7个大学区，持续完善学区制管理办法及运行机制，实行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优质资源同享、规范管理同标、教师发展同进、教育科研同步、学生成长同育、特色创建同推、教育质量同评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办学模式，推动优质教育资源共享辐射，整体提升区域教育水平。</w:t>
      </w:r>
    </w:p>
    <w:p w14:paraId="203584E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3.加强教师队伍建设。</w:t>
      </w:r>
      <w:r>
        <w:rPr>
          <w:rFonts w:hint="default" w:ascii="Times New Roman" w:hAnsi="Times New Roman" w:eastAsia="仿宋_GB2312" w:cs="Times New Roman"/>
          <w:color w:val="000000"/>
          <w:sz w:val="32"/>
          <w:szCs w:val="32"/>
        </w:rPr>
        <w:t>坚持把师德师风建设放在首位，弘扬教育家精神，健全师德建设长效机制。大力推进名师名校长工程，建设一批高水平名师工作室和名校长工作室，发挥示范引领、辐射带动作用，培养学科骨干和领军人才。实施校长能力提升计划，通过专题培训、读书研讨、发展共同体等形式，提升学校管理者的战略思维和治校能力。加强年轻干部培养储备，建设校级领导后备人才库。</w:t>
      </w:r>
    </w:p>
    <w:p w14:paraId="04CDD035">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四、推动教育优质均衡发展</w:t>
      </w:r>
    </w:p>
    <w:p w14:paraId="269DC894">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0" w:firstLineChars="200"/>
        <w:textAlignment w:val="auto"/>
        <w:rPr>
          <w:rFonts w:hint="default" w:ascii="Times New Roman" w:hAnsi="Times New Roman" w:eastAsia="仿宋_GB2312" w:cs="Times New Roman"/>
          <w:color w:val="000000"/>
          <w:spacing w:val="-6"/>
          <w:sz w:val="32"/>
          <w:szCs w:val="32"/>
        </w:rPr>
      </w:pPr>
      <w:r>
        <w:rPr>
          <w:rFonts w:hint="default" w:ascii="Times New Roman" w:hAnsi="Times New Roman" w:eastAsia="仿宋_GB2312" w:cs="Times New Roman"/>
          <w:color w:val="000000"/>
          <w:spacing w:val="0"/>
          <w:sz w:val="32"/>
          <w:szCs w:val="32"/>
        </w:rPr>
        <w:t>持续推进</w:t>
      </w:r>
      <w:r>
        <w:rPr>
          <w:rFonts w:hint="eastAsia" w:ascii="Times New Roman" w:hAnsi="Times New Roman" w:eastAsia="仿宋_GB2312" w:cs="Times New Roman"/>
          <w:color w:val="000000"/>
          <w:spacing w:val="0"/>
          <w:sz w:val="32"/>
          <w:szCs w:val="32"/>
          <w:lang w:eastAsia="zh-CN"/>
        </w:rPr>
        <w:t>“</w:t>
      </w:r>
      <w:r>
        <w:rPr>
          <w:rFonts w:hint="default" w:ascii="Times New Roman" w:hAnsi="Times New Roman" w:eastAsia="仿宋_GB2312" w:cs="Times New Roman"/>
          <w:color w:val="000000"/>
          <w:spacing w:val="-6"/>
          <w:sz w:val="32"/>
          <w:szCs w:val="32"/>
        </w:rPr>
        <w:t>多样化</w:t>
      </w:r>
      <w:r>
        <w:rPr>
          <w:rFonts w:hint="default" w:ascii="Times New Roman" w:hAnsi="Times New Roman" w:eastAsia="仿宋_GB2312" w:cs="Times New Roman"/>
          <w:color w:val="000000"/>
          <w:spacing w:val="-11"/>
          <w:sz w:val="32"/>
          <w:szCs w:val="32"/>
        </w:rPr>
        <w:t>办学</w:t>
      </w:r>
      <w:r>
        <w:rPr>
          <w:rFonts w:hint="eastAsia" w:ascii="Times New Roman" w:hAnsi="Times New Roman" w:eastAsia="仿宋_GB2312" w:cs="Times New Roman"/>
          <w:color w:val="000000"/>
          <w:spacing w:val="-11"/>
          <w:sz w:val="32"/>
          <w:szCs w:val="32"/>
          <w:lang w:eastAsia="zh-CN"/>
        </w:rPr>
        <w:t>”</w:t>
      </w:r>
      <w:r>
        <w:rPr>
          <w:rFonts w:hint="default" w:ascii="Times New Roman" w:hAnsi="Times New Roman" w:eastAsia="仿宋_GB2312" w:cs="Times New Roman"/>
          <w:color w:val="000000"/>
          <w:spacing w:val="-11"/>
          <w:sz w:val="32"/>
          <w:szCs w:val="32"/>
        </w:rPr>
        <w:t>，不断优化体系结构，促进因材施教。</w:t>
      </w:r>
    </w:p>
    <w:p w14:paraId="36E5FD6D">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1.加强幼儿园监管。</w:t>
      </w:r>
      <w:r>
        <w:rPr>
          <w:rFonts w:hint="default" w:ascii="Times New Roman" w:hAnsi="Times New Roman" w:eastAsia="仿宋_GB2312" w:cs="Times New Roman"/>
          <w:color w:val="000000"/>
          <w:sz w:val="32"/>
          <w:szCs w:val="32"/>
        </w:rPr>
        <w:t>规范办园行为，防止和纠正幼儿园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小学化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错误倾向，不断提高保教质量和水平。同时，鼓励有条件的幼儿园提供托育服务，招收2至3岁幼儿。到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末，公办幼儿园在园幼儿占比提升至65%。普惠性幼儿园覆盖率提升至90%以上。</w:t>
      </w:r>
    </w:p>
    <w:p w14:paraId="09EE9BE3">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2.全面提高义务教育质量。</w:t>
      </w:r>
      <w:r>
        <w:rPr>
          <w:rFonts w:hint="default" w:ascii="Times New Roman" w:hAnsi="Times New Roman" w:eastAsia="仿宋_GB2312" w:cs="Times New Roman"/>
          <w:color w:val="000000"/>
          <w:sz w:val="32"/>
          <w:szCs w:val="32"/>
        </w:rPr>
        <w:t>加强课程管理，严格按照国家课程方案和课程标准实施教学；深化课堂教学改革，加强教学管理，优化教学方式，推行启发式、互动式、探究式教学，重视差异化教学和个别化指导；落实义务教育学校管理标准，实施中小学校品质提升计划，持续提升中小学管理水平、教育质量和文化品味。加强青少年心理健康教育，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家庭、学校、社会、医疗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四位一体的青少年心理健康教育协同育人体系，加强专业师资配备与培训，提升心理危机预防、识别与干预能力。</w:t>
      </w:r>
    </w:p>
    <w:p w14:paraId="68D4ED9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3.积极推进</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县中振兴</w:t>
      </w:r>
      <w:r>
        <w:rPr>
          <w:rFonts w:hint="eastAsia"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w:t>
      </w:r>
      <w:r>
        <w:rPr>
          <w:rFonts w:hint="default" w:ascii="Times New Roman" w:hAnsi="Times New Roman" w:eastAsia="仿宋_GB2312" w:cs="Times New Roman"/>
          <w:color w:val="000000"/>
          <w:sz w:val="32"/>
          <w:szCs w:val="32"/>
        </w:rPr>
        <w:t>深化教学模式、教科研改革，打造高效课堂，锚定高水平大学的强基招生计划和综评招生计划，研究初高中一体化培养拔尖人才的体制机制，实现高中教育质量稳步提升。实行德智体美劳全面评价和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从入口看出口、从起点看变化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的增值评价，推动高中学校优质发展、特色发展、多元发展，有效满足学生多样化学习需求。</w:t>
      </w:r>
    </w:p>
    <w:p w14:paraId="6CEE0287">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4.增强职业教育服务发展适应性</w:t>
      </w:r>
      <w:r>
        <w:rPr>
          <w:rFonts w:hint="default" w:ascii="Times New Roman" w:hAnsi="Times New Roman" w:eastAsia="仿宋_GB2312" w:cs="Times New Roman"/>
          <w:color w:val="000000"/>
          <w:sz w:val="32"/>
          <w:szCs w:val="32"/>
        </w:rPr>
        <w:t>。紧密对接巨鹿县特色产业集群发展需求，集中资源力量办好2—3个重点专业，加大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中高职3+2</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贯通培养宣传与实施力度，积极争取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中职与应用型本科3+4</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贯通培养试点。优化现有2个实训基地运行效能，引入行业先进技术与标准，拓展实训项目。拓展实训项目覆盖面。深化产教融合、校企合作，创新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校中厂</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厂中校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等合作模式，与龙头企业共建共享生产性实训基地和技术创新平台，提升技术技能人才培养的针对性和实效性，为县域经济高质量发展提供有力支撑。</w:t>
      </w:r>
    </w:p>
    <w:p w14:paraId="1216566B">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5.保障特殊群体公平受教育权利。</w:t>
      </w:r>
      <w:r>
        <w:rPr>
          <w:rFonts w:hint="default" w:ascii="Times New Roman" w:hAnsi="Times New Roman" w:eastAsia="仿宋_GB2312" w:cs="Times New Roman"/>
          <w:color w:val="000000"/>
          <w:sz w:val="32"/>
          <w:szCs w:val="32"/>
        </w:rPr>
        <w:t>坚持以普通学校随班就读为主体、以特殊教育学校为骨干、以送教上门及远程教育为补充的原则，实现适龄残疾儿童少年义务教育</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全覆盖、零拒绝</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。探索适应残疾儿童和普通儿童共同成长的融合教育模式，推动特殊教育学校和普通学校结对帮扶共建、集团化融合办学，推动残疾儿童和普通儿童融合教育。</w:t>
      </w:r>
    </w:p>
    <w:p w14:paraId="7CD13AE2">
      <w:pPr>
        <w:keepNext w:val="0"/>
        <w:keepLines w:val="0"/>
        <w:pageBreakBefore w:val="0"/>
        <w:widowControl w:val="0"/>
        <w:kinsoku/>
        <w:wordWrap/>
        <w:overflowPunct w:val="0"/>
        <w:topLinePunct w:val="0"/>
        <w:autoSpaceDE w:val="0"/>
        <w:autoSpaceDN w:val="0"/>
        <w:bidi w:val="0"/>
        <w:adjustRightInd w:val="0"/>
        <w:snapToGrid w:val="0"/>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6.规范引导民办教育健康发展。</w:t>
      </w:r>
      <w:r>
        <w:rPr>
          <w:rFonts w:hint="default" w:ascii="Times New Roman" w:hAnsi="Times New Roman" w:eastAsia="仿宋_GB2312" w:cs="Times New Roman"/>
          <w:color w:val="000000"/>
          <w:sz w:val="32"/>
          <w:szCs w:val="32"/>
        </w:rPr>
        <w:t>坚持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控制增量、优化存量、提升质量</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原则，持续巩固规范民办义务教育专项行动成果。完善民办学校监管机制，通过派驻党建指导员和安全员，加强民办学校党的建设、依法治校水平，规范招生、教育教学、收费等办学行为，引导民办学校聚焦内涵、特色发展，确保民办义务教育在校生规模占比只降不增，形成公办民办教育协调发展的良好生态。</w:t>
      </w:r>
    </w:p>
    <w:tbl>
      <w:tblPr>
        <w:tblStyle w:val="18"/>
        <w:tblW w:w="4844" w:type="pct"/>
        <w:jc w:val="center"/>
        <w:tblLayout w:type="autofit"/>
        <w:tblCellMar>
          <w:top w:w="0" w:type="dxa"/>
          <w:left w:w="108" w:type="dxa"/>
          <w:bottom w:w="0" w:type="dxa"/>
          <w:right w:w="108" w:type="dxa"/>
        </w:tblCellMar>
      </w:tblPr>
      <w:tblGrid>
        <w:gridCol w:w="8777"/>
      </w:tblGrid>
      <w:tr w14:paraId="2CA5D985">
        <w:tblPrEx>
          <w:tblCellMar>
            <w:top w:w="0" w:type="dxa"/>
            <w:left w:w="108" w:type="dxa"/>
            <w:bottom w:w="0" w:type="dxa"/>
            <w:right w:w="108" w:type="dxa"/>
          </w:tblCellMar>
        </w:tblPrEx>
        <w:trPr>
          <w:trHeight w:val="308" w:hRule="atLeast"/>
          <w:jc w:val="center"/>
        </w:trPr>
        <w:tc>
          <w:tcPr>
            <w:tcW w:w="5000" w:type="pct"/>
            <w:tcBorders>
              <w:top w:val="single" w:color="000000" w:sz="4" w:space="0"/>
              <w:left w:val="single" w:color="000000" w:sz="4" w:space="0"/>
              <w:bottom w:val="single" w:color="000000" w:sz="4" w:space="0"/>
              <w:right w:val="single" w:color="000000" w:sz="4" w:space="0"/>
            </w:tcBorders>
            <w:noWrap/>
            <w:vAlign w:val="center"/>
          </w:tcPr>
          <w:p w14:paraId="6A24A455">
            <w:pPr>
              <w:widowControl/>
              <w:spacing w:line="600" w:lineRule="exact"/>
              <w:jc w:val="center"/>
              <w:textAlignment w:val="center"/>
              <w:rPr>
                <w:rFonts w:hint="default" w:ascii="Times New Roman" w:hAnsi="Times New Roman" w:eastAsia="仿宋" w:cs="Times New Roman"/>
                <w:color w:val="000000"/>
                <w:sz w:val="28"/>
                <w:szCs w:val="28"/>
              </w:rPr>
            </w:pPr>
            <w:r>
              <w:rPr>
                <w:rFonts w:hint="default" w:ascii="Times New Roman" w:hAnsi="Times New Roman" w:eastAsia="楷体" w:cs="Times New Roman"/>
                <w:b/>
                <w:bCs/>
                <w:color w:val="000000"/>
                <w:sz w:val="28"/>
                <w:szCs w:val="28"/>
              </w:rPr>
              <w:t xml:space="preserve">专栏11-1 </w:t>
            </w:r>
            <w:r>
              <w:rPr>
                <w:rFonts w:hint="default" w:ascii="Times New Roman" w:hAnsi="Times New Roman" w:eastAsia="楷体" w:cs="Times New Roman"/>
                <w:b/>
                <w:bCs/>
                <w:color w:val="000000"/>
                <w:kern w:val="0"/>
                <w:sz w:val="28"/>
                <w:szCs w:val="28"/>
                <w:lang w:bidi="ar"/>
              </w:rPr>
              <w:t xml:space="preserve"> </w:t>
            </w:r>
            <w:r>
              <w:rPr>
                <w:rFonts w:hint="default" w:ascii="Times New Roman" w:hAnsi="Times New Roman" w:eastAsia="楷体" w:cs="Times New Roman"/>
                <w:b/>
                <w:bCs/>
                <w:color w:val="000000"/>
                <w:sz w:val="28"/>
                <w:szCs w:val="28"/>
              </w:rPr>
              <w:t>教育规划项目</w:t>
            </w:r>
          </w:p>
        </w:tc>
      </w:tr>
      <w:tr w14:paraId="1EA8003C">
        <w:tblPrEx>
          <w:tblCellMar>
            <w:top w:w="0" w:type="dxa"/>
            <w:left w:w="108" w:type="dxa"/>
            <w:bottom w:w="0" w:type="dxa"/>
            <w:right w:w="108" w:type="dxa"/>
          </w:tblCellMar>
        </w:tblPrEx>
        <w:trPr>
          <w:trHeight w:val="2542" w:hRule="atLeast"/>
          <w:jc w:val="center"/>
        </w:trPr>
        <w:tc>
          <w:tcPr>
            <w:tcW w:w="5000" w:type="pct"/>
            <w:tcBorders>
              <w:top w:val="single" w:color="000000" w:sz="4" w:space="0"/>
              <w:left w:val="single" w:color="000000" w:sz="4" w:space="0"/>
              <w:bottom w:val="single" w:color="000000" w:sz="4" w:space="0"/>
              <w:right w:val="single" w:color="000000" w:sz="4" w:space="0"/>
            </w:tcBorders>
            <w:noWrap/>
            <w:vAlign w:val="center"/>
          </w:tcPr>
          <w:p w14:paraId="609D8BF6">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1.一中校园环境完善项目</w:t>
            </w:r>
          </w:p>
          <w:p w14:paraId="76725748">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2.巨鹿县第三中学项目</w:t>
            </w:r>
          </w:p>
          <w:p w14:paraId="6DF2BC91">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lang w:val="en-US" w:eastAsia="zh-CN"/>
              </w:rPr>
              <w:t>3.</w:t>
            </w:r>
            <w:r>
              <w:rPr>
                <w:rFonts w:hint="default" w:ascii="Times New Roman" w:hAnsi="Times New Roman" w:eastAsia="仿宋" w:cs="Times New Roman"/>
                <w:color w:val="000000"/>
                <w:sz w:val="24"/>
                <w:szCs w:val="24"/>
                <w:lang w:eastAsia="zh-CN"/>
              </w:rPr>
              <w:t>巨鹿县第四中学项目</w:t>
            </w:r>
          </w:p>
          <w:p w14:paraId="5CFF9D05">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4</w:t>
            </w:r>
            <w:r>
              <w:rPr>
                <w:rFonts w:hint="default" w:ascii="Times New Roman" w:hAnsi="Times New Roman" w:eastAsia="仿宋" w:cs="Times New Roman"/>
                <w:color w:val="000000"/>
                <w:sz w:val="24"/>
                <w:szCs w:val="24"/>
              </w:rPr>
              <w:t>.数字校园建设项目</w:t>
            </w:r>
          </w:p>
          <w:p w14:paraId="6B0E1984">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5</w:t>
            </w:r>
            <w:r>
              <w:rPr>
                <w:rFonts w:hint="default" w:ascii="Times New Roman" w:hAnsi="Times New Roman" w:eastAsia="仿宋" w:cs="Times New Roman"/>
                <w:color w:val="000000"/>
                <w:sz w:val="24"/>
                <w:szCs w:val="24"/>
              </w:rPr>
              <w:t>.名师工作室建设项目</w:t>
            </w:r>
          </w:p>
          <w:p w14:paraId="0E398241">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幼圆" w:cs="Times New Roman"/>
                <w:color w:val="000000"/>
                <w:sz w:val="24"/>
                <w:szCs w:val="24"/>
              </w:rPr>
            </w:pPr>
            <w:r>
              <w:rPr>
                <w:rFonts w:hint="default" w:ascii="Times New Roman" w:hAnsi="Times New Roman" w:eastAsia="仿宋" w:cs="Times New Roman"/>
                <w:color w:val="000000"/>
                <w:sz w:val="24"/>
                <w:szCs w:val="24"/>
                <w:lang w:val="en-US" w:eastAsia="zh-CN"/>
              </w:rPr>
              <w:t>6</w:t>
            </w:r>
            <w:r>
              <w:rPr>
                <w:rFonts w:hint="default" w:ascii="Times New Roman" w:hAnsi="Times New Roman" w:eastAsia="仿宋" w:cs="Times New Roman"/>
                <w:color w:val="000000"/>
                <w:sz w:val="24"/>
                <w:szCs w:val="24"/>
              </w:rPr>
              <w:t>.名校长培育工程</w:t>
            </w:r>
          </w:p>
        </w:tc>
      </w:tr>
    </w:tbl>
    <w:p w14:paraId="08D02589">
      <w:pPr>
        <w:keepNext w:val="0"/>
        <w:keepLines w:val="0"/>
        <w:pageBreakBefore w:val="0"/>
        <w:widowControl w:val="0"/>
        <w:kinsoku/>
        <w:wordWrap/>
        <w:overflowPunct w:val="0"/>
        <w:topLinePunct w:val="0"/>
        <w:autoSpaceDE w:val="0"/>
        <w:autoSpaceDN w:val="0"/>
        <w:bidi w:val="0"/>
        <w:snapToGrid/>
        <w:spacing w:line="570" w:lineRule="exact"/>
        <w:jc w:val="center"/>
        <w:textAlignment w:val="auto"/>
        <w:outlineLvl w:val="1"/>
        <w:rPr>
          <w:rFonts w:hint="default" w:ascii="Times New Roman" w:hAnsi="Times New Roman" w:eastAsia="楷体" w:cs="Times New Roman"/>
          <w:b/>
          <w:color w:val="000000"/>
          <w:sz w:val="32"/>
          <w:szCs w:val="28"/>
          <w:lang w:bidi="ar"/>
        </w:rPr>
      </w:pPr>
      <w:bookmarkStart w:id="127" w:name="_Toc31817"/>
      <w:bookmarkStart w:id="128" w:name="_Toc12835"/>
      <w:bookmarkStart w:id="129" w:name="_Toc8449"/>
      <w:bookmarkStart w:id="130" w:name="_Toc24539"/>
      <w:bookmarkStart w:id="131" w:name="_Toc24790"/>
      <w:r>
        <w:rPr>
          <w:rFonts w:hint="default" w:ascii="Times New Roman" w:hAnsi="Times New Roman" w:eastAsia="楷体" w:cs="Times New Roman"/>
          <w:b/>
          <w:color w:val="000000"/>
          <w:sz w:val="32"/>
          <w:szCs w:val="28"/>
          <w:lang w:bidi="ar"/>
        </w:rPr>
        <w:t>第三节 推进健康巨鹿建设</w:t>
      </w:r>
      <w:bookmarkEnd w:id="127"/>
      <w:bookmarkEnd w:id="128"/>
      <w:bookmarkEnd w:id="129"/>
      <w:bookmarkEnd w:id="130"/>
    </w:p>
    <w:p w14:paraId="6632522E">
      <w:pPr>
        <w:keepNext w:val="0"/>
        <w:keepLines w:val="0"/>
        <w:pageBreakBefore w:val="0"/>
        <w:widowControl w:val="0"/>
        <w:kinsoku/>
        <w:wordWrap/>
        <w:overflowPunct w:val="0"/>
        <w:topLinePunct w:val="0"/>
        <w:autoSpaceDE w:val="0"/>
        <w:autoSpaceDN w:val="0"/>
        <w:bidi w:val="0"/>
        <w:snapToGrid/>
        <w:spacing w:line="570" w:lineRule="exact"/>
        <w:ind w:firstLine="640" w:firstLineChars="200"/>
        <w:textAlignment w:val="auto"/>
        <w:rPr>
          <w:rFonts w:hint="default" w:ascii="Times New Roman" w:hAnsi="Times New Roman" w:eastAsia="仿宋_GB2312" w:cs="Times New Roman"/>
          <w:color w:val="000000"/>
          <w:sz w:val="32"/>
          <w:szCs w:val="32"/>
        </w:rPr>
      </w:pPr>
      <w:bookmarkStart w:id="132" w:name="_Hlk214045439"/>
      <w:r>
        <w:rPr>
          <w:rFonts w:hint="default" w:ascii="Times New Roman" w:hAnsi="Times New Roman" w:eastAsia="仿宋_GB2312" w:cs="Times New Roman"/>
          <w:color w:val="000000"/>
          <w:sz w:val="32"/>
          <w:szCs w:val="32"/>
        </w:rPr>
        <w:t>以医养共同体建设为引领，发挥全国医养结合示范县、全省紧密型医共体建设示范县、京津冀儿童康复协作示范县优势，持续深化医药卫生体制、医养险三位一体改革，健全医疗、医保、医药、医养协同发展和治理机制，</w:t>
      </w:r>
      <w:bookmarkEnd w:id="132"/>
      <w:r>
        <w:rPr>
          <w:rFonts w:hint="default" w:ascii="Times New Roman" w:hAnsi="Times New Roman" w:eastAsia="仿宋_GB2312" w:cs="Times New Roman"/>
          <w:color w:val="000000"/>
          <w:sz w:val="32"/>
          <w:szCs w:val="32"/>
        </w:rPr>
        <w:t>持续扩大邢台中部区域医疗中心辐射圈，着力打造区域医疗康养创新示范县。</w:t>
      </w:r>
    </w:p>
    <w:p w14:paraId="2A199C37">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33" w:name="_Toc9100"/>
      <w:bookmarkStart w:id="134" w:name="_Toc21264"/>
      <w:bookmarkStart w:id="135" w:name="_Toc8793"/>
      <w:bookmarkStart w:id="136" w:name="_Toc8718"/>
      <w:r>
        <w:rPr>
          <w:rFonts w:hint="default" w:ascii="Times New Roman" w:hAnsi="Times New Roman" w:eastAsia="仿宋_GB2312" w:cs="Times New Roman"/>
          <w:b/>
          <w:color w:val="000000"/>
          <w:sz w:val="32"/>
          <w:szCs w:val="28"/>
        </w:rPr>
        <w:t>一、大力推进医养共同体建设</w:t>
      </w:r>
    </w:p>
    <w:p w14:paraId="3A909773">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1.深化紧密型县域医共体建设，筑牢</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大病不出县</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的基层医疗服务网。</w:t>
      </w:r>
      <w:r>
        <w:rPr>
          <w:rFonts w:hint="default" w:ascii="Times New Roman" w:hAnsi="Times New Roman" w:eastAsia="仿宋_GB2312" w:cs="Times New Roman"/>
          <w:color w:val="000000"/>
          <w:sz w:val="32"/>
          <w:szCs w:val="32"/>
        </w:rPr>
        <w:t>紧密围绕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县级强、乡级活、村级稳、上下联、信息通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的核心目标，在实现医共体</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形</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上全覆盖的基础上，重点推动其向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上强作用、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上高融合转变，全面建成运行高效、服务同质、群众信赖的县域整合型医疗卫生服务体系。</w:t>
      </w:r>
    </w:p>
    <w:p w14:paraId="68652562">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1.1完善一体化治理体系，激发运行新效能。</w:t>
      </w:r>
      <w:r>
        <w:rPr>
          <w:rFonts w:hint="default" w:ascii="Times New Roman" w:hAnsi="Times New Roman" w:eastAsia="仿宋_GB2312" w:cs="Times New Roman"/>
          <w:color w:val="000000"/>
          <w:sz w:val="32"/>
          <w:szCs w:val="32"/>
        </w:rPr>
        <w:t>坚持和加强党委对医共体建设的全面领导，完善由县委、</w:t>
      </w:r>
      <w:r>
        <w:rPr>
          <w:rFonts w:hint="eastAsia" w:eastAsia="仿宋_GB2312" w:cs="Times New Roman"/>
          <w:color w:val="000000"/>
          <w:sz w:val="32"/>
          <w:szCs w:val="32"/>
          <w:lang w:eastAsia="zh-CN"/>
        </w:rPr>
        <w:t>县人民政府</w:t>
      </w:r>
      <w:r>
        <w:rPr>
          <w:rFonts w:hint="default" w:ascii="Times New Roman" w:hAnsi="Times New Roman" w:eastAsia="仿宋_GB2312" w:cs="Times New Roman"/>
          <w:color w:val="000000"/>
          <w:sz w:val="32"/>
          <w:szCs w:val="32"/>
        </w:rPr>
        <w:t>主要领导负责的高位推进机制。深化巨鹿县总医院模式，强化其对人、财、物、事的统一管理权。在已实现编制、岗位、人员等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八统一</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 xml:space="preserve">管理的基础上，进一步细化医共体内部分工协作与利益共享机制，深化医保支付方式改革，持续激发总医院与各成员单位的内生动力。       </w:t>
      </w:r>
    </w:p>
    <w:p w14:paraId="25A0BE61">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1.2优化梯次化服务体系，推动资源精准下沉。</w:t>
      </w:r>
      <w:r>
        <w:rPr>
          <w:rFonts w:hint="default" w:ascii="Times New Roman" w:hAnsi="Times New Roman" w:eastAsia="仿宋_GB2312" w:cs="Times New Roman"/>
          <w:color w:val="000000"/>
          <w:sz w:val="32"/>
          <w:szCs w:val="32"/>
        </w:rPr>
        <w:t>巩固和完善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县级医疗机构→县域医疗次中心（中心卫生院）→一般卫生院→一体化村卫生室</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梯次服务体系。持续提升县级医院服务能力，重点提升危急重症救治、核心专科和教学科研能力，全面推进卒中中心、胸痛中心、创伤中心、危重孕产妇救治中心、危重新生儿救治中心五大中心提档升级，加快县医院争创三甲步伐。加强医疗次中心建设，持续优化提升西郭城西院区、官亭中心卫生院诊疗水平和辐射带动能力，加快推进阎疃中心卫生院东部次中心建设，积极谋划建设南部次中心，增强县医院分流的高标准诊疗任务承接能力，着力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一核四中心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分级医疗服务体系。加强基层医疗卫生机构建设，实施医疗强基工程，推动基层医疗卫生机构设备升级、服务提质。深化乡村一体化管理，健全服务协同联动机制，强化基本医疗、公共卫生和健康管理服务，通过对口支援、巡回医疗、远程医疗等方式，推动县级医院优质人力资源和技术</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扎根下沉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，为群众提供疾病预防、诊断、治疗、康复、健康管理等一体化、连续性医疗卫生服务。</w:t>
      </w:r>
    </w:p>
    <w:p w14:paraId="01A80965">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1.3强化数字化支撑体系，贯通服务全流程。</w:t>
      </w:r>
      <w:r>
        <w:rPr>
          <w:rFonts w:hint="default" w:ascii="Times New Roman" w:hAnsi="Times New Roman" w:eastAsia="仿宋_GB2312" w:cs="Times New Roman"/>
          <w:color w:val="000000"/>
          <w:sz w:val="32"/>
          <w:szCs w:val="32"/>
        </w:rPr>
        <w:t>深化检验、影像、心电、病理、消毒供应等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五大资源共享中心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建设，全面完善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基层检查、上级诊断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模式。升级县域医共体信息平台，打通数据壁垒，实现居民健康档案、电子病历、诊疗信息的互联互通。优化由</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会诊转诊服务中心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统筹的双向转诊</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绿色通道</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，利用信息化手段实现转诊申请、审批、接送、反馈闭环管理，让</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数据跑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代替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病人跑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p>
    <w:p w14:paraId="7DC5A979">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2.加快推进医养共同体建设，打造</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医养康护</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全链条闭环服务样板。</w:t>
      </w:r>
      <w:r>
        <w:rPr>
          <w:rFonts w:hint="default" w:ascii="Times New Roman" w:hAnsi="Times New Roman" w:eastAsia="仿宋_GB2312" w:cs="Times New Roman"/>
          <w:color w:val="000000"/>
          <w:sz w:val="32"/>
          <w:szCs w:val="32"/>
        </w:rPr>
        <w:t>发挥</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全国医养结合示范县</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优势，推动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医养一体、两院融合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模式向更高层次的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养共体</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战略升级。以长期护理保险制度为关键支撑，全域整合医疗、养老、康复、护理资源，构建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预防—治疗—照护—安宁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全链条服务闭环，打造在全国可复制、可推广的县域养老解决方案。</w:t>
      </w:r>
    </w:p>
    <w:p w14:paraId="1B49AF88">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2.1构建全覆盖、多元化的医养服务网络。</w:t>
      </w:r>
      <w:r>
        <w:rPr>
          <w:rFonts w:hint="default" w:ascii="Times New Roman" w:hAnsi="Times New Roman" w:eastAsia="仿宋_GB2312" w:cs="Times New Roman"/>
          <w:color w:val="000000"/>
          <w:sz w:val="32"/>
          <w:szCs w:val="32"/>
        </w:rPr>
        <w:t>持续巩固和优化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县级走高端、乡级抓全面、村级兜网底、民营机构作补充</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四级医养结合服务网。依托县医院福缘居老年医养中心、健康养老综合服务指导中心等示范机构，提供失能照护、专业康复、老年病综合诊治等高端服务。推动乡镇卫生院举办医养中心全覆盖，提供普惠型集中照护服务。鼓励村卫生室兴办或托管农村幸福院，提供便捷可及的互助养老与基本医护服务。同时，支持社会力量兴办特色化、专业化医养机构作为有益补充。</w:t>
      </w:r>
    </w:p>
    <w:p w14:paraId="3C4DA48E">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b/>
          <w:color w:val="000000"/>
          <w:sz w:val="32"/>
          <w:szCs w:val="32"/>
        </w:rPr>
        <w:t xml:space="preserve">2.2 </w:t>
      </w:r>
      <w:r>
        <w:rPr>
          <w:rFonts w:hint="default" w:ascii="Times New Roman" w:hAnsi="Times New Roman" w:eastAsia="仿宋_GB2312" w:cs="Times New Roman"/>
          <w:b/>
          <w:sz w:val="32"/>
          <w:szCs w:val="32"/>
        </w:rPr>
        <w:t>完善全链条、标准化的统一管理体系。</w:t>
      </w:r>
      <w:r>
        <w:rPr>
          <w:rFonts w:hint="default" w:ascii="Times New Roman" w:hAnsi="Times New Roman" w:eastAsia="仿宋_GB2312" w:cs="Times New Roman"/>
          <w:sz w:val="32"/>
          <w:szCs w:val="32"/>
        </w:rPr>
        <w:t>持续完善养共体管理机制制度。从组织架构、全维度标准制定、落地执行、考核评价四方面搭建一体化管理指导体系，实现人员、服务、运行、制度、考核的全域统一。人员培训上统一体系、分级施教、全域认证。服务标准上统一服务流程，明确各环节的责任主体和时限要求，统一服务质量标准，统一服务规范要求。机构运行上全维度统一，实现资源高效协同。规章制度上全域统一，分级细化，无缝衔接。考核评价上指标统一，全程量化，强化落地执行。</w:t>
      </w:r>
    </w:p>
    <w:p w14:paraId="2E372930">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2.3 健全全要素、可持续的政策保障机制。</w:t>
      </w:r>
      <w:r>
        <w:rPr>
          <w:rFonts w:hint="default" w:ascii="Times New Roman" w:hAnsi="Times New Roman" w:eastAsia="仿宋_GB2312" w:cs="Times New Roman"/>
          <w:color w:val="000000"/>
          <w:sz w:val="32"/>
          <w:szCs w:val="32"/>
        </w:rPr>
        <w:t>将长期护理保险制度作为养共体建设的核心支柱，持续推动其提质扩面。不断完善多渠道筹资机制，稳妥推进</w:t>
      </w:r>
      <w:r>
        <w:rPr>
          <w:rFonts w:hint="default" w:ascii="Times New Roman" w:hAnsi="Times New Roman" w:eastAsia="仿宋_GB2312" w:cs="Times New Roman"/>
          <w:sz w:val="32"/>
          <w:szCs w:val="32"/>
        </w:rPr>
        <w:t>基准费率动态调整，</w:t>
      </w:r>
      <w:r>
        <w:rPr>
          <w:rFonts w:hint="default" w:ascii="Times New Roman" w:hAnsi="Times New Roman" w:eastAsia="仿宋_GB2312" w:cs="Times New Roman"/>
          <w:color w:val="000000"/>
          <w:sz w:val="32"/>
          <w:szCs w:val="32"/>
        </w:rPr>
        <w:t>稳步提高保障水平与覆盖人群。打通卫健、民政、医保、人社等部门政策壁垒，对医养结合机构在建设补贴、运营补贴、医保定点、人才培训等方面给予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全要素倾斜支持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。建立统一的养共体服务质量标准、管理规范和评价体系。</w:t>
      </w:r>
    </w:p>
    <w:p w14:paraId="610DAB37">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2.4发展全周期、智能化的协同服务模式。</w:t>
      </w:r>
      <w:r>
        <w:rPr>
          <w:rFonts w:hint="default" w:ascii="Times New Roman" w:hAnsi="Times New Roman" w:eastAsia="仿宋_GB2312" w:cs="Times New Roman"/>
          <w:color w:val="000000"/>
          <w:sz w:val="32"/>
          <w:szCs w:val="32"/>
        </w:rPr>
        <w:t>推动服务从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机构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社区和家庭</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延伸。依托县级医养中心组建专业团队，为居家失能、半失能老人提供上门医疗护理、生活照护、康复指导等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居家有约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服务。利用物联网、大数据等技术，搭建全县统一的智慧养老服务平台，实现服务需求一键呼叫、服务过程全程监管、健康数据动态监测。建立养共体内医疗机构与养老机构间的预约就诊、急诊急救、双向转诊等紧密协作机制，确保老年人医疗需求得到及时响应。</w:t>
      </w:r>
    </w:p>
    <w:p w14:paraId="10ECFC0B">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lang w:bidi="ar"/>
        </w:rPr>
      </w:pPr>
      <w:r>
        <w:rPr>
          <w:rFonts w:hint="default" w:ascii="Times New Roman" w:hAnsi="Times New Roman" w:eastAsia="仿宋_GB2312" w:cs="Times New Roman"/>
          <w:b/>
          <w:color w:val="000000"/>
          <w:sz w:val="32"/>
          <w:szCs w:val="28"/>
        </w:rPr>
        <w:t>二、深化医药卫生体制改革</w:t>
      </w:r>
      <w:bookmarkEnd w:id="133"/>
      <w:bookmarkEnd w:id="134"/>
    </w:p>
    <w:p w14:paraId="47831F7A">
      <w:pPr>
        <w:keepNext w:val="0"/>
        <w:keepLines w:val="0"/>
        <w:pageBreakBefore w:val="0"/>
        <w:widowControl w:val="0"/>
        <w:kinsoku/>
        <w:wordWrap/>
        <w:overflowPunct w:val="0"/>
        <w:topLinePunct w:val="0"/>
        <w:autoSpaceDE w:val="0"/>
        <w:autoSpaceDN w:val="0"/>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因地制宜学习推广三明医改经验，健全政策协同、信息联通、监管联动等机制，加强医疗、医保、医药协同发展和治理。健全医院内部激励和约束机制，优化公立医院内部薪酬结构。依托全国紧密型县域医共体建设试点经验与全国医养结合示范县优势，完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预防—治疗—照护—健康</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全链条闭环服务体系，全力探索打造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医养一体、两院融合、资源共享、上下贯通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的医疗养老健康服务体系。</w:t>
      </w:r>
    </w:p>
    <w:p w14:paraId="727D23C1">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r>
        <w:rPr>
          <w:rFonts w:hint="default" w:ascii="Times New Roman" w:hAnsi="Times New Roman" w:eastAsia="仿宋_GB2312" w:cs="Times New Roman"/>
          <w:b/>
          <w:color w:val="000000"/>
          <w:sz w:val="32"/>
          <w:szCs w:val="28"/>
        </w:rPr>
        <w:t>三、</w:t>
      </w:r>
      <w:bookmarkEnd w:id="135"/>
      <w:bookmarkEnd w:id="136"/>
      <w:bookmarkStart w:id="137" w:name="_Toc26593"/>
      <w:bookmarkStart w:id="138" w:name="_Toc23948"/>
      <w:r>
        <w:rPr>
          <w:rFonts w:hint="default" w:ascii="Times New Roman" w:hAnsi="Times New Roman" w:eastAsia="仿宋_GB2312" w:cs="Times New Roman"/>
          <w:b/>
          <w:color w:val="000000"/>
          <w:sz w:val="32"/>
          <w:szCs w:val="28"/>
        </w:rPr>
        <w:t>健全公共卫生防控体系</w:t>
      </w:r>
      <w:bookmarkEnd w:id="137"/>
      <w:bookmarkEnd w:id="138"/>
    </w:p>
    <w:p w14:paraId="69F59720">
      <w:pPr>
        <w:keepNext w:val="0"/>
        <w:keepLines w:val="0"/>
        <w:pageBreakBefore w:val="0"/>
        <w:widowControl w:val="0"/>
        <w:kinsoku/>
        <w:wordWrap/>
        <w:overflowPunct w:val="0"/>
        <w:topLinePunct w:val="0"/>
        <w:autoSpaceDE w:val="0"/>
        <w:autoSpaceDN w:val="0"/>
        <w:bidi w:val="0"/>
        <w:snapToGrid/>
        <w:spacing w:line="570" w:lineRule="exact"/>
        <w:ind w:firstLine="640" w:firstLineChars="200"/>
        <w:textAlignment w:val="auto"/>
        <w:rPr>
          <w:rFonts w:hint="default" w:ascii="Times New Roman" w:hAnsi="Times New Roman" w:cs="Times New Roman"/>
          <w:color w:val="000000"/>
          <w:szCs w:val="24"/>
        </w:rPr>
      </w:pPr>
      <w:r>
        <w:rPr>
          <w:rFonts w:hint="default" w:ascii="Times New Roman" w:hAnsi="Times New Roman" w:eastAsia="仿宋_GB2312" w:cs="Times New Roman"/>
          <w:color w:val="000000"/>
          <w:sz w:val="32"/>
          <w:szCs w:val="32"/>
        </w:rPr>
        <w:t>提升全县疾病预防控制中心传染病疫情和突发公共卫生事件应急处置能力，加快推进县疾病预防控制中心达标建设和能力提升工程，实现疾病预防控制机构基础建设100%达标。</w:t>
      </w:r>
    </w:p>
    <w:p w14:paraId="70CF2523">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39" w:name="_Toc1501"/>
      <w:bookmarkStart w:id="140" w:name="_Toc26838"/>
      <w:r>
        <w:rPr>
          <w:rFonts w:hint="default" w:ascii="Times New Roman" w:hAnsi="Times New Roman" w:eastAsia="仿宋_GB2312" w:cs="Times New Roman"/>
          <w:b/>
          <w:color w:val="000000"/>
          <w:sz w:val="32"/>
          <w:szCs w:val="28"/>
        </w:rPr>
        <w:t>四、促进中医药传承创新发展</w:t>
      </w:r>
      <w:bookmarkEnd w:id="139"/>
      <w:bookmarkEnd w:id="140"/>
    </w:p>
    <w:p w14:paraId="0BF80EA3">
      <w:pPr>
        <w:keepNext w:val="0"/>
        <w:keepLines w:val="0"/>
        <w:pageBreakBefore w:val="0"/>
        <w:widowControl w:val="0"/>
        <w:kinsoku/>
        <w:wordWrap/>
        <w:overflowPunct w:val="0"/>
        <w:topLinePunct w:val="0"/>
        <w:autoSpaceDE w:val="0"/>
        <w:autoSpaceDN w:val="0"/>
        <w:bidi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推动中医药传承创新发展，拓展中医药在预防、治疗、康复、护理等方面的应用。优化中医药服务供给，加强县中医医院建设，强化国医堂内涵服务，加强中医优势专科建设。壮大中医药人才队伍，依托河北中医药人才建设专项，实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名医入冀计划</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杏林千人培养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岐黄赤子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等工程和中医馆骨干人才项目。</w:t>
      </w:r>
    </w:p>
    <w:p w14:paraId="0C5C3F98">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41" w:name="_Toc13400"/>
      <w:bookmarkStart w:id="142" w:name="_Toc27291"/>
      <w:r>
        <w:rPr>
          <w:rFonts w:hint="default" w:ascii="Times New Roman" w:hAnsi="Times New Roman" w:eastAsia="仿宋_GB2312" w:cs="Times New Roman"/>
          <w:b/>
          <w:color w:val="000000"/>
          <w:sz w:val="32"/>
          <w:szCs w:val="28"/>
        </w:rPr>
        <w:t>五、优化整合全方位健康服务</w:t>
      </w:r>
      <w:bookmarkEnd w:id="141"/>
      <w:bookmarkEnd w:id="142"/>
    </w:p>
    <w:p w14:paraId="3A0F2E87">
      <w:pPr>
        <w:keepNext w:val="0"/>
        <w:keepLines w:val="0"/>
        <w:pageBreakBefore w:val="0"/>
        <w:widowControl w:val="0"/>
        <w:kinsoku/>
        <w:wordWrap/>
        <w:overflowPunct w:val="0"/>
        <w:topLinePunct w:val="0"/>
        <w:autoSpaceDE w:val="0"/>
        <w:autoSpaceDN w:val="0"/>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加强全县慢性病综合防控体系建设，聚焦心脑血管、癌症、糖尿病、慢性呼吸系统疾病等重点疾病，加强早诊早治，预防重大慢性病发生，提升患者生存质量。加强心理健康和精神卫生服务体系建设，加大精神专科医院和综合医院精神科建设力度。</w:t>
      </w:r>
    </w:p>
    <w:p w14:paraId="10FD424B">
      <w:pPr>
        <w:keepNext w:val="0"/>
        <w:keepLines w:val="0"/>
        <w:pageBreakBefore w:val="0"/>
        <w:widowControl w:val="0"/>
        <w:kinsoku/>
        <w:wordWrap/>
        <w:overflowPunct w:val="0"/>
        <w:topLinePunct w:val="0"/>
        <w:autoSpaceDE w:val="0"/>
        <w:autoSpaceDN w:val="0"/>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化卫生健康数字变革，加快推进医疗机构信息互通共享，推动电子病历和医学影像实时调阅、检查检验结果互认共享、电子健康档案向本人提供实施授权查询，提升全民健康智慧化水平。优化服务供给，针对孕产妇、婴幼儿、学生、老年人和重点行业劳动者及新就业形态劳动者等重点人群开展健康服务，做实做细家庭医生签约服务。</w:t>
      </w:r>
    </w:p>
    <w:tbl>
      <w:tblPr>
        <w:tblStyle w:val="18"/>
        <w:tblW w:w="4694" w:type="pct"/>
        <w:tblInd w:w="250" w:type="dxa"/>
        <w:tblLayout w:type="autofit"/>
        <w:tblCellMar>
          <w:top w:w="0" w:type="dxa"/>
          <w:left w:w="108" w:type="dxa"/>
          <w:bottom w:w="0" w:type="dxa"/>
          <w:right w:w="108" w:type="dxa"/>
        </w:tblCellMar>
      </w:tblPr>
      <w:tblGrid>
        <w:gridCol w:w="8506"/>
      </w:tblGrid>
      <w:tr w14:paraId="35629751">
        <w:tblPrEx>
          <w:tblCellMar>
            <w:top w:w="0" w:type="dxa"/>
            <w:left w:w="108" w:type="dxa"/>
            <w:bottom w:w="0" w:type="dxa"/>
            <w:right w:w="108" w:type="dxa"/>
          </w:tblCellMar>
        </w:tblPrEx>
        <w:trPr>
          <w:trHeight w:val="480" w:hRule="atLeast"/>
        </w:trPr>
        <w:tc>
          <w:tcPr>
            <w:tcW w:w="5000" w:type="pct"/>
            <w:tcBorders>
              <w:top w:val="single" w:color="000000" w:sz="4" w:space="0"/>
              <w:left w:val="single" w:color="000000" w:sz="4" w:space="0"/>
              <w:bottom w:val="single" w:color="000000" w:sz="4" w:space="0"/>
              <w:right w:val="single" w:color="000000" w:sz="4" w:space="0"/>
            </w:tcBorders>
            <w:noWrap/>
            <w:vAlign w:val="center"/>
          </w:tcPr>
          <w:p w14:paraId="7D31C987">
            <w:pPr>
              <w:widowControl/>
              <w:spacing w:line="600" w:lineRule="exact"/>
              <w:jc w:val="center"/>
              <w:textAlignment w:val="center"/>
              <w:rPr>
                <w:rFonts w:hint="default" w:ascii="Times New Roman" w:hAnsi="Times New Roman" w:eastAsia="仿宋" w:cs="Times New Roman"/>
                <w:color w:val="000000"/>
                <w:sz w:val="28"/>
                <w:szCs w:val="28"/>
              </w:rPr>
            </w:pPr>
            <w:r>
              <w:rPr>
                <w:rFonts w:hint="default" w:ascii="Times New Roman" w:hAnsi="Times New Roman" w:eastAsia="楷体" w:cs="Times New Roman"/>
                <w:b/>
                <w:bCs/>
                <w:color w:val="000000"/>
                <w:sz w:val="28"/>
                <w:szCs w:val="28"/>
              </w:rPr>
              <w:t>专栏11-2</w:t>
            </w:r>
            <w:r>
              <w:rPr>
                <w:rFonts w:hint="default" w:ascii="Times New Roman" w:hAnsi="Times New Roman" w:eastAsia="楷体" w:cs="Times New Roman"/>
                <w:b/>
                <w:bCs/>
                <w:color w:val="000000"/>
                <w:kern w:val="0"/>
                <w:sz w:val="28"/>
                <w:szCs w:val="28"/>
                <w:lang w:bidi="ar"/>
              </w:rPr>
              <w:t xml:space="preserve"> </w:t>
            </w:r>
            <w:r>
              <w:rPr>
                <w:rFonts w:hint="default" w:ascii="Times New Roman" w:hAnsi="Times New Roman" w:eastAsia="楷体" w:cs="Times New Roman"/>
                <w:b/>
                <w:bCs/>
                <w:color w:val="000000"/>
                <w:sz w:val="28"/>
                <w:szCs w:val="28"/>
              </w:rPr>
              <w:t>巨鹿县医疗卫生建设</w:t>
            </w:r>
            <w:r>
              <w:rPr>
                <w:rFonts w:hint="default" w:ascii="Times New Roman" w:hAnsi="Times New Roman" w:eastAsia="楷体" w:cs="Times New Roman"/>
                <w:b/>
                <w:bCs/>
                <w:color w:val="000000"/>
                <w:kern w:val="0"/>
                <w:sz w:val="28"/>
                <w:szCs w:val="28"/>
                <w:lang w:bidi="ar"/>
              </w:rPr>
              <w:t>项目</w:t>
            </w:r>
          </w:p>
        </w:tc>
      </w:tr>
      <w:tr w14:paraId="3AB78BD3">
        <w:tblPrEx>
          <w:tblCellMar>
            <w:top w:w="0" w:type="dxa"/>
            <w:left w:w="108" w:type="dxa"/>
            <w:bottom w:w="0" w:type="dxa"/>
            <w:right w:w="108" w:type="dxa"/>
          </w:tblCellMar>
        </w:tblPrEx>
        <w:trPr>
          <w:trHeight w:val="1055" w:hRule="atLeast"/>
        </w:trPr>
        <w:tc>
          <w:tcPr>
            <w:tcW w:w="5000" w:type="pct"/>
            <w:tcBorders>
              <w:top w:val="single" w:color="000000" w:sz="4" w:space="0"/>
              <w:left w:val="single" w:color="000000" w:sz="4" w:space="0"/>
              <w:bottom w:val="single" w:color="000000" w:sz="4" w:space="0"/>
              <w:right w:val="single" w:color="000000" w:sz="4" w:space="0"/>
            </w:tcBorders>
            <w:noWrap/>
            <w:vAlign w:val="center"/>
          </w:tcPr>
          <w:p w14:paraId="02AAB16B">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1.医养共同体智慧医养信息平台</w:t>
            </w:r>
          </w:p>
          <w:p w14:paraId="31FEAB77">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2.巨鹿县中医院综合楼改扩建项目</w:t>
            </w:r>
          </w:p>
          <w:p w14:paraId="63C2FDC0">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3.巨鹿县中医院新建门诊楼项目</w:t>
            </w:r>
          </w:p>
          <w:p w14:paraId="25BD47D2">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4.巨鹿县疾病预防控制中心项目</w:t>
            </w:r>
          </w:p>
          <w:p w14:paraId="723FC4CD">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5.巨鹿县乡镇卫生院基础设施提升项目</w:t>
            </w:r>
          </w:p>
          <w:p w14:paraId="4669BE35">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6.巨鹿县医疗卫生强基工程</w:t>
            </w:r>
          </w:p>
          <w:p w14:paraId="4B081F50">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sz w:val="24"/>
                <w:szCs w:val="24"/>
              </w:rPr>
              <w:t>7.邢台市第九医院康复楼建设项目</w:t>
            </w:r>
          </w:p>
        </w:tc>
      </w:tr>
    </w:tbl>
    <w:p w14:paraId="76E17577">
      <w:pPr>
        <w:keepNext w:val="0"/>
        <w:keepLines w:val="0"/>
        <w:pageBreakBefore w:val="0"/>
        <w:widowControl w:val="0"/>
        <w:kinsoku/>
        <w:wordWrap/>
        <w:overflowPunct w:val="0"/>
        <w:topLinePunct w:val="0"/>
        <w:autoSpaceDE w:val="0"/>
        <w:autoSpaceDN w:val="0"/>
        <w:bidi w:val="0"/>
        <w:snapToGrid/>
        <w:spacing w:line="570" w:lineRule="exact"/>
        <w:contextualSpacing/>
        <w:jc w:val="center"/>
        <w:textAlignment w:val="auto"/>
        <w:outlineLvl w:val="1"/>
        <w:rPr>
          <w:rFonts w:hint="default" w:ascii="Times New Roman" w:hAnsi="Times New Roman" w:eastAsia="楷体" w:cs="Times New Roman"/>
          <w:b/>
          <w:color w:val="000000"/>
          <w:sz w:val="32"/>
          <w:szCs w:val="28"/>
          <w:lang w:bidi="ar"/>
        </w:rPr>
      </w:pPr>
      <w:bookmarkStart w:id="143" w:name="_Toc22080"/>
      <w:bookmarkStart w:id="144" w:name="_Toc15121"/>
      <w:bookmarkStart w:id="145" w:name="OLE_LINK174"/>
      <w:bookmarkStart w:id="146" w:name="OLE_LINK170"/>
      <w:r>
        <w:rPr>
          <w:rFonts w:hint="default" w:ascii="Times New Roman" w:hAnsi="Times New Roman" w:eastAsia="楷体" w:cs="Times New Roman"/>
          <w:b/>
          <w:color w:val="000000"/>
          <w:sz w:val="32"/>
          <w:szCs w:val="28"/>
          <w:lang w:bidi="ar"/>
        </w:rPr>
        <w:t>第四节 促进人口高质量发展</w:t>
      </w:r>
      <w:bookmarkEnd w:id="131"/>
      <w:bookmarkEnd w:id="143"/>
      <w:bookmarkEnd w:id="144"/>
    </w:p>
    <w:bookmarkEnd w:id="145"/>
    <w:p w14:paraId="099D1E01">
      <w:pPr>
        <w:keepNext w:val="0"/>
        <w:keepLines w:val="0"/>
        <w:pageBreakBefore w:val="0"/>
        <w:widowControl w:val="0"/>
        <w:kinsoku/>
        <w:wordWrap/>
        <w:overflowPunct w:val="0"/>
        <w:topLinePunct w:val="0"/>
        <w:autoSpaceDE w:val="0"/>
        <w:autoSpaceDN w:val="0"/>
        <w:bidi w:val="0"/>
        <w:snapToGrid/>
        <w:spacing w:line="570" w:lineRule="exact"/>
        <w:ind w:firstLine="800" w:firstLineChars="25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立足县域人口结构变化趋势，将促进人口长期均衡发展摆在重要位置，以系统观念统筹应对少子化、老龄化挑战，以提高人口整体素质、激发全龄人口活力为核心，加快构建生育友好、幼有善育、青有可为、老有颐养的人口发展新格局。</w:t>
      </w:r>
    </w:p>
    <w:p w14:paraId="6375E876">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r>
        <w:rPr>
          <w:rFonts w:hint="default" w:ascii="Times New Roman" w:hAnsi="Times New Roman" w:eastAsia="仿宋_GB2312" w:cs="Times New Roman"/>
          <w:b/>
          <w:color w:val="000000"/>
          <w:sz w:val="32"/>
          <w:szCs w:val="28"/>
        </w:rPr>
        <w:t>一、构建积极的生育支持与妇幼健康保障体系</w:t>
      </w:r>
    </w:p>
    <w:p w14:paraId="1C2D9611">
      <w:pPr>
        <w:keepNext w:val="0"/>
        <w:keepLines w:val="0"/>
        <w:pageBreakBefore w:val="0"/>
        <w:widowControl w:val="0"/>
        <w:kinsoku/>
        <w:wordWrap/>
        <w:overflowPunct w:val="0"/>
        <w:topLinePunct w:val="0"/>
        <w:autoSpaceDE w:val="0"/>
        <w:autoSpaceDN w:val="0"/>
        <w:bidi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聚焦提振生育意愿、保障优生优育，系统实施生育、养育、教育支持措施，营造儿童友好的社会环境。</w:t>
      </w:r>
    </w:p>
    <w:p w14:paraId="77E033A0">
      <w:pPr>
        <w:keepNext w:val="0"/>
        <w:keepLines w:val="0"/>
        <w:pageBreakBefore w:val="0"/>
        <w:widowControl w:val="0"/>
        <w:kinsoku/>
        <w:wordWrap/>
        <w:overflowPunct w:val="0"/>
        <w:topLinePunct w:val="0"/>
        <w:autoSpaceDE w:val="0"/>
        <w:autoSpaceDN w:val="0"/>
        <w:bidi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1.实施全链条健康守护。</w:t>
      </w:r>
      <w:r>
        <w:rPr>
          <w:rFonts w:hint="default" w:ascii="Times New Roman" w:hAnsi="Times New Roman" w:eastAsia="仿宋_GB2312" w:cs="Times New Roman"/>
          <w:color w:val="000000"/>
          <w:sz w:val="32"/>
          <w:szCs w:val="32"/>
        </w:rPr>
        <w:t>加快推进县妇幼保健计划生育服务中心项目建设，依托已获评二级甲等的妇幼保健院，全面提升服务能级。启动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早孕关爱行动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，为孕早期妇女提供精准的健康指导与风险筛查。实施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孕育和出生缺陷防治能力提升计划</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，加强县级产前筛查与诊断中心建设，推动筛查、诊断、干预、随访服务无缝衔接，筑牢出生缺陷三级预防屏障。</w:t>
      </w:r>
    </w:p>
    <w:p w14:paraId="3878CA88">
      <w:pPr>
        <w:keepNext w:val="0"/>
        <w:keepLines w:val="0"/>
        <w:pageBreakBefore w:val="0"/>
        <w:widowControl w:val="0"/>
        <w:kinsoku/>
        <w:wordWrap/>
        <w:overflowPunct w:val="0"/>
        <w:topLinePunct w:val="0"/>
        <w:autoSpaceDE w:val="0"/>
        <w:autoSpaceDN w:val="0"/>
        <w:bidi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2.发展普惠便利的托育服务。</w:t>
      </w:r>
      <w:r>
        <w:rPr>
          <w:rFonts w:hint="default" w:ascii="Times New Roman" w:hAnsi="Times New Roman" w:eastAsia="仿宋_GB2312" w:cs="Times New Roman"/>
          <w:color w:val="000000"/>
          <w:sz w:val="32"/>
          <w:szCs w:val="32"/>
        </w:rPr>
        <w:t>将发展普惠托育服务体系作为减轻家庭负担的关键举措。编制托育服务发展专项规划，合理布局建设托育服务网点，构建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十分钟托育便民服务圈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确保2028年底前新建和在建小区托育服务设施配套实现全覆盖。发展多元化托育服务模式，深化医育结合、育教融合，支持二级以上医疗机构建设福利性托育服务机构，指导公办幼儿园积极发展托幼一体化托育服务，鼓励行政机关、事业单位、国有企业等用人单位自主举办或合作协办福利性托育服务机构，积极发展社区嵌入式托育，引导社会力量兴办普惠性托育机构，探索社区托育、企业园区托育等多种服务模式。制定并落实普惠托育服务收费标准与补贴政策，切实降低家庭育儿成本。健全完善托育人才培育、行业规范、服务监管等机制，确保托育服务健康有序发展。</w:t>
      </w:r>
    </w:p>
    <w:p w14:paraId="305FD5DD">
      <w:pPr>
        <w:keepNext w:val="0"/>
        <w:keepLines w:val="0"/>
        <w:pageBreakBefore w:val="0"/>
        <w:widowControl w:val="0"/>
        <w:kinsoku/>
        <w:wordWrap/>
        <w:overflowPunct w:val="0"/>
        <w:topLinePunct w:val="0"/>
        <w:autoSpaceDE w:val="0"/>
        <w:autoSpaceDN w:val="0"/>
        <w:bidi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3.优化儿童成长环境。</w:t>
      </w:r>
      <w:r>
        <w:rPr>
          <w:rFonts w:hint="default" w:ascii="Times New Roman" w:hAnsi="Times New Roman" w:eastAsia="仿宋_GB2312" w:cs="Times New Roman"/>
          <w:color w:val="000000"/>
          <w:sz w:val="32"/>
          <w:szCs w:val="32"/>
        </w:rPr>
        <w:t>加强未成年人保护，完善校园心理健康服务体系。优化课后服务与素质教育资源供给，建设一批安全、趣味的儿童友好型公共空间，为青少年营造积极、健康、安全的成长支持性环境。</w:t>
      </w:r>
    </w:p>
    <w:p w14:paraId="5995EF43">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r>
        <w:rPr>
          <w:rFonts w:hint="default" w:ascii="Times New Roman" w:hAnsi="Times New Roman" w:eastAsia="仿宋_GB2312" w:cs="Times New Roman"/>
          <w:b/>
          <w:color w:val="000000"/>
          <w:sz w:val="32"/>
          <w:szCs w:val="28"/>
        </w:rPr>
        <w:t>二、打造多元化、适老化养老服务新格局</w:t>
      </w:r>
    </w:p>
    <w:p w14:paraId="49C7B6BA">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1.优化医养结合服务供给。</w:t>
      </w:r>
      <w:r>
        <w:rPr>
          <w:rFonts w:hint="default" w:ascii="Times New Roman" w:hAnsi="Times New Roman" w:eastAsia="仿宋_GB2312" w:cs="Times New Roman"/>
          <w:color w:val="000000"/>
          <w:sz w:val="32"/>
          <w:szCs w:val="32"/>
        </w:rPr>
        <w:t>进一步完善县、乡、村三级医养结合服务机构网络，加快推动静和养老院投用开业，支持现有医养结合机构改造升级、服务提标，推动基本养老服务供给提质扩容。加快完善社区日间照料站布局，巩固居家养老基础地位，强化社区养老依托作用，积极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居家—社区—机构</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协同服务体系。大力引导人工智能和智慧养老产品融入养老服务各环节，依托县健康养老综合服务指导中心及</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云智医养融合智慧平台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，发展远程照护、智慧安防、健康监测等新型服务，更好满足群众健康陪护、精神抚慰、康复护理、安宁疗护等个性化、高品质需求。培育专业人才与创新服务模式。加强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巨鹿康养师</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劳务品牌培育，健全养老护理员培训、评价与激励机制，培育更多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一专多能</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的复合型人才。同时，创新发展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老帮老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互助养老模式，鼓励低龄健康老年人服务高龄老年人，将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老有所为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老有所养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紧密结合。</w:t>
      </w:r>
    </w:p>
    <w:p w14:paraId="392D1839">
      <w:pPr>
        <w:keepNext w:val="0"/>
        <w:keepLines w:val="0"/>
        <w:pageBreakBefore w:val="0"/>
        <w:widowControl w:val="0"/>
        <w:kinsoku/>
        <w:wordWrap/>
        <w:overflowPunct w:val="0"/>
        <w:topLinePunct w:val="0"/>
        <w:autoSpaceDE w:val="0"/>
        <w:autoSpaceDN w:val="0"/>
        <w:bidi w:val="0"/>
        <w:snapToGrid/>
        <w:spacing w:line="57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2.推动养老事业与养老产业协同发展。</w:t>
      </w:r>
      <w:r>
        <w:rPr>
          <w:rFonts w:hint="default" w:ascii="Times New Roman" w:hAnsi="Times New Roman" w:eastAsia="仿宋_GB2312" w:cs="Times New Roman"/>
          <w:color w:val="000000"/>
          <w:sz w:val="32"/>
          <w:szCs w:val="32"/>
        </w:rPr>
        <w:t>积极推进基础设施、公共服务适老化改造，健全落实老龄优惠支持政策，为老年人提供更多便捷服务。大力发展老年教育与银发文体产业，整合文化场馆、公园场所、新时代文明实践所站等公共资源，常态化开展戏曲、书画、健身等特色文体活动，支持老年大学、老干部艺术团等平台发展，将其打造为文化养老的重要阵地，丰富老年人精神文化生活，拓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享老</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内涵。大力发展银发经济，积极培育开发适合老年人的文艺创作、信息咨询、家政服务、生态观光、休闲养生等服务业态和就业岗位，鼓励低龄健康老年人再就业，激发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老有所为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 xml:space="preserve">。 </w:t>
      </w:r>
    </w:p>
    <w:p w14:paraId="6DCD8B8C">
      <w:pPr>
        <w:keepNext w:val="0"/>
        <w:keepLines w:val="0"/>
        <w:pageBreakBefore w:val="0"/>
        <w:widowControl w:val="0"/>
        <w:kinsoku/>
        <w:wordWrap/>
        <w:overflowPunct w:val="0"/>
        <w:topLinePunct w:val="0"/>
        <w:autoSpaceDE w:val="0"/>
        <w:autoSpaceDN w:val="0"/>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r>
        <w:rPr>
          <w:rFonts w:hint="default" w:ascii="Times New Roman" w:hAnsi="Times New Roman" w:eastAsia="仿宋_GB2312" w:cs="Times New Roman"/>
          <w:b/>
          <w:color w:val="000000"/>
          <w:sz w:val="32"/>
          <w:szCs w:val="28"/>
        </w:rPr>
        <w:t>四、激发青少年发展活力</w:t>
      </w:r>
    </w:p>
    <w:bookmarkEnd w:id="146"/>
    <w:p w14:paraId="355DB0D8">
      <w:pPr>
        <w:keepNext w:val="0"/>
        <w:keepLines w:val="0"/>
        <w:pageBreakBefore w:val="0"/>
        <w:widowControl w:val="0"/>
        <w:kinsoku/>
        <w:wordWrap/>
        <w:overflowPunct w:val="0"/>
        <w:topLinePunct w:val="0"/>
        <w:autoSpaceDE w:val="0"/>
        <w:autoSpaceDN w:val="0"/>
        <w:bidi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入贯彻落实青少年中长期发展规划，完善青少年发展服务体系。加强青少年理论武装，健全党、团、队一体化育人链条，大力培育有理想、敢担当、能吃苦、肯奋斗的新时代好青年。优化青少年成长环境，维护青少年合法权益，激发青年创新创业活力，促进青少年高质量发展。</w:t>
      </w:r>
    </w:p>
    <w:tbl>
      <w:tblPr>
        <w:tblStyle w:val="18"/>
        <w:tblW w:w="4853" w:type="pct"/>
        <w:jc w:val="center"/>
        <w:tblLayout w:type="autofit"/>
        <w:tblCellMar>
          <w:top w:w="0" w:type="dxa"/>
          <w:left w:w="108" w:type="dxa"/>
          <w:bottom w:w="0" w:type="dxa"/>
          <w:right w:w="108" w:type="dxa"/>
        </w:tblCellMar>
      </w:tblPr>
      <w:tblGrid>
        <w:gridCol w:w="8794"/>
      </w:tblGrid>
      <w:tr w14:paraId="35FC4256">
        <w:tblPrEx>
          <w:tblCellMar>
            <w:top w:w="0" w:type="dxa"/>
            <w:left w:w="108" w:type="dxa"/>
            <w:bottom w:w="0" w:type="dxa"/>
            <w:right w:w="108" w:type="dxa"/>
          </w:tblCellMar>
        </w:tblPrEx>
        <w:trPr>
          <w:trHeight w:val="90" w:hRule="atLeast"/>
          <w:jc w:val="center"/>
        </w:trPr>
        <w:tc>
          <w:tcPr>
            <w:tcW w:w="5000" w:type="pct"/>
            <w:tcBorders>
              <w:top w:val="single" w:color="000000" w:sz="4" w:space="0"/>
              <w:left w:val="single" w:color="000000" w:sz="4" w:space="0"/>
              <w:bottom w:val="single" w:color="000000" w:sz="4" w:space="0"/>
              <w:right w:val="single" w:color="000000" w:sz="4" w:space="0"/>
            </w:tcBorders>
            <w:noWrap/>
            <w:vAlign w:val="center"/>
          </w:tcPr>
          <w:p w14:paraId="6BE1C00B">
            <w:pPr>
              <w:widowControl/>
              <w:spacing w:line="600" w:lineRule="exact"/>
              <w:jc w:val="center"/>
              <w:textAlignment w:val="center"/>
              <w:rPr>
                <w:rFonts w:hint="default" w:ascii="Times New Roman" w:hAnsi="Times New Roman" w:eastAsia="楷体" w:cs="Times New Roman"/>
                <w:color w:val="000000"/>
                <w:sz w:val="28"/>
                <w:szCs w:val="28"/>
              </w:rPr>
            </w:pPr>
            <w:r>
              <w:rPr>
                <w:rFonts w:hint="default" w:ascii="Times New Roman" w:hAnsi="Times New Roman" w:eastAsia="楷体" w:cs="Times New Roman"/>
                <w:b/>
                <w:bCs/>
                <w:color w:val="000000"/>
                <w:sz w:val="28"/>
                <w:szCs w:val="28"/>
              </w:rPr>
              <w:t xml:space="preserve">专栏11-3 </w:t>
            </w:r>
            <w:r>
              <w:rPr>
                <w:rFonts w:hint="default" w:ascii="Times New Roman" w:hAnsi="Times New Roman" w:eastAsia="楷体" w:cs="Times New Roman"/>
                <w:b/>
                <w:bCs/>
                <w:color w:val="000000"/>
                <w:kern w:val="0"/>
                <w:sz w:val="28"/>
                <w:szCs w:val="28"/>
                <w:lang w:bidi="ar"/>
              </w:rPr>
              <w:t xml:space="preserve"> </w:t>
            </w:r>
            <w:r>
              <w:rPr>
                <w:rFonts w:hint="default" w:ascii="Times New Roman" w:hAnsi="Times New Roman" w:eastAsia="楷体" w:cs="Times New Roman"/>
                <w:b/>
                <w:bCs/>
                <w:color w:val="000000"/>
                <w:sz w:val="28"/>
                <w:szCs w:val="28"/>
              </w:rPr>
              <w:t>巨鹿县医养、托育服务建设项目</w:t>
            </w:r>
          </w:p>
        </w:tc>
      </w:tr>
      <w:tr w14:paraId="5C394DB1">
        <w:tblPrEx>
          <w:tblCellMar>
            <w:top w:w="0" w:type="dxa"/>
            <w:left w:w="108" w:type="dxa"/>
            <w:bottom w:w="0" w:type="dxa"/>
            <w:right w:w="108" w:type="dxa"/>
          </w:tblCellMar>
        </w:tblPrEx>
        <w:trPr>
          <w:trHeight w:val="120" w:hRule="atLeast"/>
          <w:jc w:val="center"/>
        </w:trPr>
        <w:tc>
          <w:tcPr>
            <w:tcW w:w="5000" w:type="pct"/>
            <w:tcBorders>
              <w:top w:val="single" w:color="000000" w:sz="4" w:space="0"/>
              <w:left w:val="single" w:color="000000" w:sz="4" w:space="0"/>
              <w:bottom w:val="single" w:color="000000" w:sz="4" w:space="0"/>
              <w:right w:val="single" w:color="000000" w:sz="4" w:space="0"/>
            </w:tcBorders>
            <w:noWrap/>
            <w:vAlign w:val="center"/>
          </w:tcPr>
          <w:p w14:paraId="0BEA828C">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1.巨鹿县阎疃中心卫生院医养中心建设项目</w:t>
            </w:r>
          </w:p>
          <w:p w14:paraId="2E336756">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2.巨鹿县医院西院区医养中心建设项目</w:t>
            </w:r>
          </w:p>
          <w:p w14:paraId="7B44BF38">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3.巨鹿县乡镇卫生院医养服务能力提升项目</w:t>
            </w:r>
          </w:p>
          <w:p w14:paraId="136CCFBB">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4.巨鹿县民政</w:t>
            </w:r>
            <w:r>
              <w:rPr>
                <w:rFonts w:hint="default" w:ascii="Times New Roman" w:hAnsi="Times New Roman" w:eastAsia="仿宋" w:cs="Times New Roman"/>
                <w:color w:val="000000"/>
                <w:sz w:val="24"/>
                <w:szCs w:val="24"/>
                <w:lang w:eastAsia="zh-CN"/>
              </w:rPr>
              <w:t>区域</w:t>
            </w:r>
            <w:r>
              <w:rPr>
                <w:rFonts w:hint="default" w:ascii="Times New Roman" w:hAnsi="Times New Roman" w:eastAsia="仿宋" w:cs="Times New Roman"/>
                <w:color w:val="000000"/>
                <w:sz w:val="24"/>
                <w:szCs w:val="24"/>
              </w:rPr>
              <w:t>养老服务中心</w:t>
            </w:r>
          </w:p>
          <w:p w14:paraId="7B81156F">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5.巨鹿县妇幼保健计划生育服务中心项目</w:t>
            </w:r>
          </w:p>
          <w:p w14:paraId="0285199A">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6.巨鹿县公办托育综合服务中心项目</w:t>
            </w:r>
          </w:p>
          <w:p w14:paraId="774CB79B">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7.巨鹿县公办托育中心项目</w:t>
            </w:r>
          </w:p>
        </w:tc>
      </w:tr>
    </w:tbl>
    <w:p w14:paraId="13E70A4D">
      <w:pPr>
        <w:keepNext/>
        <w:keepLines/>
        <w:pageBreakBefore w:val="0"/>
        <w:kinsoku/>
        <w:wordWrap/>
        <w:overflowPunct/>
        <w:autoSpaceDE/>
        <w:autoSpaceDN/>
        <w:bidi w:val="0"/>
        <w:snapToGrid/>
        <w:spacing w:line="570" w:lineRule="exact"/>
        <w:contextualSpacing/>
        <w:jc w:val="center"/>
        <w:textAlignment w:val="auto"/>
        <w:outlineLvl w:val="1"/>
        <w:rPr>
          <w:rFonts w:hint="default" w:ascii="Times New Roman" w:hAnsi="Times New Roman" w:eastAsia="楷体" w:cs="Times New Roman"/>
          <w:b/>
          <w:color w:val="000000"/>
          <w:sz w:val="32"/>
          <w:szCs w:val="28"/>
          <w:lang w:bidi="ar"/>
        </w:rPr>
      </w:pPr>
      <w:bookmarkStart w:id="147" w:name="_Toc28939"/>
      <w:bookmarkStart w:id="148" w:name="_Toc6492"/>
      <w:bookmarkStart w:id="149" w:name="_Toc13136"/>
      <w:bookmarkStart w:id="150" w:name="_Toc17634"/>
      <w:bookmarkStart w:id="151" w:name="_Toc14646"/>
      <w:bookmarkStart w:id="152" w:name="_Toc14286"/>
      <w:r>
        <w:rPr>
          <w:rFonts w:hint="default" w:ascii="Times New Roman" w:hAnsi="Times New Roman" w:eastAsia="楷体" w:cs="Times New Roman"/>
          <w:b/>
          <w:color w:val="000000"/>
          <w:sz w:val="32"/>
          <w:szCs w:val="28"/>
          <w:lang w:bidi="ar"/>
        </w:rPr>
        <w:t>第五节 健全多层次社会保障体系</w:t>
      </w:r>
      <w:bookmarkEnd w:id="147"/>
      <w:bookmarkEnd w:id="148"/>
      <w:bookmarkEnd w:id="149"/>
      <w:bookmarkEnd w:id="150"/>
      <w:bookmarkEnd w:id="151"/>
      <w:bookmarkEnd w:id="152"/>
    </w:p>
    <w:p w14:paraId="5671B2D2">
      <w:pPr>
        <w:pageBreakBefore w:val="0"/>
        <w:kinsoku/>
        <w:wordWrap/>
        <w:overflowPunct/>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53" w:name="_Toc30384"/>
      <w:bookmarkStart w:id="154" w:name="_Toc26722"/>
      <w:r>
        <w:rPr>
          <w:rFonts w:hint="default" w:ascii="Times New Roman" w:hAnsi="Times New Roman" w:eastAsia="仿宋_GB2312" w:cs="Times New Roman"/>
          <w:b/>
          <w:color w:val="000000"/>
          <w:sz w:val="32"/>
          <w:szCs w:val="28"/>
        </w:rPr>
        <w:t>一、全面深化养老保险制度改革</w:t>
      </w:r>
      <w:bookmarkEnd w:id="153"/>
      <w:bookmarkEnd w:id="154"/>
    </w:p>
    <w:p w14:paraId="77D85C98">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全面落实企业职工基本养老保险全国统筹制度，健全城乡居民基本养老保险筹资和待遇合理调整机制，引导城乡居民根据收入水平自愿选择更高档次缴费。完善城乡居民基本养老保险待遇确定和基础养老金正常调整机制，逐步提高城乡居民基础养老金标准，缩小城乡待遇差距。完善社保关系跨地区转移接续机制，简化转移手续，缩短办理时限。提高灵活就业人员、农民工、新就业形态人员参保率，开展农民工社保政策专项宣传和服务行动。</w:t>
      </w:r>
    </w:p>
    <w:p w14:paraId="7E68A9C5">
      <w:pPr>
        <w:pageBreakBefore w:val="0"/>
        <w:kinsoku/>
        <w:wordWrap/>
        <w:overflowPunct/>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55" w:name="_Toc4535"/>
      <w:bookmarkStart w:id="156" w:name="_Toc28682"/>
      <w:r>
        <w:rPr>
          <w:rFonts w:hint="default" w:ascii="Times New Roman" w:hAnsi="Times New Roman" w:eastAsia="仿宋_GB2312" w:cs="Times New Roman"/>
          <w:b/>
          <w:color w:val="000000"/>
          <w:sz w:val="32"/>
          <w:szCs w:val="28"/>
        </w:rPr>
        <w:t>二、完善多层次医疗保险保障体系</w:t>
      </w:r>
      <w:bookmarkEnd w:id="155"/>
      <w:bookmarkEnd w:id="156"/>
    </w:p>
    <w:p w14:paraId="43E59DB4">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稳定基本医保住院报销比例，保障门诊共济待遇，推动大病保险、医疗救助与基本医保制度的有效衔接，强化对低收入人群、住院自负额度较高重病患者的托底保障，有效防范和化解因病致贫返贫。不断深化医保支付方式改革，规范医药机构服务行为，减轻参保群众就医负担。</w:t>
      </w:r>
    </w:p>
    <w:p w14:paraId="3EADA2D3">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在国家长期护理保险制度框架下，不断健全管护机制，科学调整长期护理保险筹资标准和待遇标准，积极应对人口老龄化。支持中医药发展，探索优化中医药服务医保支付政策。</w:t>
      </w:r>
    </w:p>
    <w:p w14:paraId="1E87AD3C">
      <w:pPr>
        <w:pageBreakBefore w:val="0"/>
        <w:kinsoku/>
        <w:wordWrap/>
        <w:overflowPunct/>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57" w:name="_Toc17578"/>
      <w:bookmarkStart w:id="158" w:name="_Toc6921"/>
      <w:r>
        <w:rPr>
          <w:rFonts w:hint="default" w:ascii="Times New Roman" w:hAnsi="Times New Roman" w:eastAsia="仿宋_GB2312" w:cs="Times New Roman"/>
          <w:b/>
          <w:color w:val="000000"/>
          <w:sz w:val="32"/>
          <w:szCs w:val="28"/>
        </w:rPr>
        <w:t>三、扩大失业、工伤保险覆盖面</w:t>
      </w:r>
      <w:bookmarkEnd w:id="157"/>
      <w:bookmarkEnd w:id="158"/>
    </w:p>
    <w:p w14:paraId="67957903">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以中小微企业、灵活就业人员、新就业形态人员为重点扩面对象，简化参保登记流程，推行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线上+线下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体化参保服务。将更多新业态劳动者、农民工纳入失业保险保障范围。推进工伤保险向职业劳动者全覆盖，重点将建筑、交通运输等高危行业从业人员和灵活就业人员纳入保障范围。针对平台用工、灵活就业等新就业形态特点，制定差异化的职业伤害保障政策，完善职业伤害认定标准和程序，简化理赔流程，保障新就业形态人员因职业伤害获得及时补偿。</w:t>
      </w:r>
    </w:p>
    <w:p w14:paraId="57F6E00D">
      <w:pPr>
        <w:pageBreakBefore w:val="0"/>
        <w:kinsoku/>
        <w:wordWrap/>
        <w:overflowPunct/>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59" w:name="_Toc4692"/>
      <w:bookmarkStart w:id="160" w:name="_Toc26283"/>
      <w:r>
        <w:rPr>
          <w:rFonts w:hint="default" w:ascii="Times New Roman" w:hAnsi="Times New Roman" w:eastAsia="仿宋_GB2312" w:cs="Times New Roman"/>
          <w:b/>
          <w:color w:val="000000"/>
          <w:sz w:val="32"/>
          <w:szCs w:val="28"/>
        </w:rPr>
        <w:t>四、健全完善社会救助体系</w:t>
      </w:r>
      <w:bookmarkEnd w:id="159"/>
      <w:bookmarkEnd w:id="160"/>
    </w:p>
    <w:p w14:paraId="233EE39D">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进一步做好社会救助兜底保障工作，及时将符合条件的困难群众纳入社会救助范围，巩固拓展脱贫攻坚成果，实现最低生活保障等社会救助扩围增效，切实兜住、兜准、兜好困难群众基本生活底线。严格规范做好本行政区域内特困人员认定及救助供养工作，确保应救尽救，应养尽养。健全社会救助体系，完善城乡低保、特困人员、空巢老人、困境儿童、残疾人等群体服务保障体系。</w:t>
      </w:r>
    </w:p>
    <w:p w14:paraId="42254713">
      <w:pPr>
        <w:keepNext/>
        <w:keepLines/>
        <w:pageBreakBefore w:val="0"/>
        <w:kinsoku/>
        <w:wordWrap/>
        <w:overflowPunct/>
        <w:autoSpaceDE/>
        <w:autoSpaceDN/>
        <w:bidi w:val="0"/>
        <w:snapToGrid/>
        <w:spacing w:line="570" w:lineRule="exact"/>
        <w:contextualSpacing/>
        <w:jc w:val="center"/>
        <w:textAlignment w:val="auto"/>
        <w:outlineLvl w:val="0"/>
        <w:rPr>
          <w:rFonts w:hint="default" w:ascii="Times New Roman" w:hAnsi="Times New Roman" w:eastAsia="黑体" w:cs="Times New Roman"/>
          <w:bCs/>
          <w:color w:val="000000"/>
          <w:sz w:val="32"/>
          <w:szCs w:val="28"/>
        </w:rPr>
      </w:pPr>
      <w:bookmarkStart w:id="161" w:name="_Toc11925"/>
      <w:bookmarkStart w:id="162" w:name="_Toc5720"/>
      <w:r>
        <w:rPr>
          <w:rFonts w:hint="default" w:ascii="Times New Roman" w:hAnsi="Times New Roman" w:eastAsia="黑体" w:cs="Times New Roman"/>
          <w:bCs/>
          <w:color w:val="000000"/>
          <w:sz w:val="32"/>
          <w:szCs w:val="28"/>
        </w:rPr>
        <w:br w:type="page"/>
      </w:r>
      <w:r>
        <w:rPr>
          <w:rFonts w:hint="default" w:ascii="Times New Roman" w:hAnsi="Times New Roman" w:eastAsia="黑体" w:cs="Times New Roman"/>
          <w:bCs/>
          <w:color w:val="000000"/>
          <w:sz w:val="32"/>
          <w:szCs w:val="28"/>
        </w:rPr>
        <w:t>第十二章</w:t>
      </w:r>
      <w:r>
        <w:rPr>
          <w:rFonts w:hint="eastAsia" w:ascii="Times New Roman" w:hAnsi="Times New Roman" w:eastAsia="黑体" w:cs="Times New Roman"/>
          <w:bCs/>
          <w:color w:val="000000"/>
          <w:sz w:val="32"/>
          <w:szCs w:val="28"/>
          <w:lang w:val="en-US" w:eastAsia="zh-CN"/>
        </w:rPr>
        <w:t xml:space="preserve">  </w:t>
      </w:r>
      <w:r>
        <w:rPr>
          <w:rFonts w:hint="default" w:ascii="Times New Roman" w:hAnsi="Times New Roman" w:eastAsia="黑体" w:cs="Times New Roman"/>
          <w:bCs/>
          <w:color w:val="000000"/>
          <w:sz w:val="32"/>
          <w:szCs w:val="28"/>
        </w:rPr>
        <w:t>推动平安巨鹿建设，坚决守牢安全发展底线</w:t>
      </w:r>
      <w:bookmarkEnd w:id="122"/>
      <w:bookmarkEnd w:id="123"/>
      <w:bookmarkEnd w:id="124"/>
      <w:bookmarkEnd w:id="125"/>
      <w:bookmarkEnd w:id="126"/>
      <w:bookmarkEnd w:id="161"/>
      <w:bookmarkEnd w:id="162"/>
    </w:p>
    <w:p w14:paraId="3FDA23C5">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cs="Times New Roman"/>
          <w:color w:val="000000"/>
        </w:rPr>
      </w:pPr>
      <w:r>
        <w:rPr>
          <w:rFonts w:hint="default" w:ascii="Times New Roman" w:hAnsi="Times New Roman" w:eastAsia="仿宋_GB2312" w:cs="Times New Roman"/>
          <w:color w:val="000000"/>
          <w:sz w:val="32"/>
          <w:szCs w:val="32"/>
        </w:rPr>
        <w:t>坚定不移贯彻总体国家安全观，更好统筹发展和安全，把安全发展贯穿经济社会发展各领域、全过程，实现高质量发展和高水平安全的良性互动，确保社会生机勃勃又井然有序。</w:t>
      </w:r>
    </w:p>
    <w:p w14:paraId="50193FB5">
      <w:pPr>
        <w:keepNext/>
        <w:keepLines/>
        <w:pageBreakBefore w:val="0"/>
        <w:widowControl/>
        <w:kinsoku/>
        <w:wordWrap/>
        <w:overflowPunct/>
        <w:autoSpaceDE/>
        <w:autoSpaceDN/>
        <w:bidi w:val="0"/>
        <w:snapToGrid/>
        <w:spacing w:line="570" w:lineRule="exact"/>
        <w:jc w:val="center"/>
        <w:textAlignment w:val="auto"/>
        <w:outlineLvl w:val="1"/>
        <w:rPr>
          <w:rFonts w:hint="default" w:ascii="Times New Roman" w:hAnsi="Times New Roman" w:eastAsia="楷体" w:cs="Times New Roman"/>
          <w:b/>
          <w:color w:val="000000"/>
          <w:sz w:val="32"/>
          <w:szCs w:val="28"/>
          <w:lang w:bidi="ar"/>
        </w:rPr>
      </w:pPr>
      <w:bookmarkStart w:id="163" w:name="_Toc13874"/>
      <w:bookmarkStart w:id="164" w:name="_Toc24994"/>
      <w:r>
        <w:rPr>
          <w:rFonts w:hint="default" w:ascii="Times New Roman" w:hAnsi="Times New Roman" w:eastAsia="楷体" w:cs="Times New Roman"/>
          <w:b/>
          <w:color w:val="000000"/>
          <w:sz w:val="32"/>
          <w:szCs w:val="28"/>
          <w:lang w:bidi="ar"/>
        </w:rPr>
        <w:t>第一节 推进国家安全体系和能力现代化</w:t>
      </w:r>
      <w:bookmarkEnd w:id="163"/>
      <w:bookmarkEnd w:id="164"/>
    </w:p>
    <w:p w14:paraId="60FA8118">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党对国家安全工作的绝对领导，严格落实国家安全责任制，完善风险防控体系，形成全链条全要素协同联动体系合力。坚持把捍卫政治安全摆在首位，严密防范和严厉打击敌对势力渗透、破坏、颠覆、分裂活动。坚定维护国家制度安全，保障制度稳定运行，推动制度优势转化为治理效能。加强意识形态安全，旗帜鲜明反对和抵制错误思潮。强化经济安全风险预警、防控机制和能力建设，守住不发生系统性金融风险底线。强化国家安全宣传教育，筑牢国家安全人民防线。</w:t>
      </w:r>
    </w:p>
    <w:p w14:paraId="14D5915A">
      <w:pPr>
        <w:keepNext/>
        <w:keepLines/>
        <w:pageBreakBefore w:val="0"/>
        <w:widowControl/>
        <w:kinsoku/>
        <w:wordWrap/>
        <w:overflowPunct/>
        <w:autoSpaceDE/>
        <w:autoSpaceDN/>
        <w:bidi w:val="0"/>
        <w:snapToGrid/>
        <w:spacing w:line="570" w:lineRule="exact"/>
        <w:jc w:val="center"/>
        <w:textAlignment w:val="auto"/>
        <w:outlineLvl w:val="1"/>
        <w:rPr>
          <w:rFonts w:hint="default" w:ascii="Times New Roman" w:hAnsi="Times New Roman" w:eastAsia="楷体" w:cs="Times New Roman"/>
          <w:b/>
          <w:color w:val="000000"/>
          <w:sz w:val="32"/>
          <w:szCs w:val="28"/>
          <w:lang w:bidi="ar"/>
        </w:rPr>
      </w:pPr>
      <w:bookmarkStart w:id="165" w:name="_Toc23321"/>
      <w:bookmarkStart w:id="166" w:name="_Toc22856"/>
      <w:bookmarkStart w:id="167" w:name="_Toc6687"/>
      <w:bookmarkStart w:id="168" w:name="_Toc1331"/>
      <w:bookmarkStart w:id="169" w:name="_Toc1273"/>
      <w:bookmarkStart w:id="170" w:name="_Toc23032"/>
      <w:bookmarkStart w:id="171" w:name="_Toc14099"/>
      <w:r>
        <w:rPr>
          <w:rFonts w:hint="default" w:ascii="Times New Roman" w:hAnsi="Times New Roman" w:eastAsia="楷体" w:cs="Times New Roman"/>
          <w:b/>
          <w:color w:val="000000"/>
          <w:sz w:val="32"/>
          <w:szCs w:val="28"/>
          <w:lang w:bidi="ar"/>
        </w:rPr>
        <w:t xml:space="preserve">第二节 </w:t>
      </w:r>
      <w:r>
        <w:rPr>
          <w:rFonts w:hint="default" w:ascii="Times New Roman" w:hAnsi="Times New Roman" w:eastAsia="楷体_GB2312" w:cs="Times New Roman"/>
          <w:b/>
          <w:bCs/>
          <w:color w:val="000000"/>
          <w:sz w:val="32"/>
          <w:szCs w:val="32"/>
        </w:rPr>
        <w:t>加强重点领域安全能力建设</w:t>
      </w:r>
      <w:bookmarkEnd w:id="165"/>
      <w:bookmarkEnd w:id="166"/>
      <w:bookmarkEnd w:id="167"/>
      <w:bookmarkEnd w:id="168"/>
      <w:bookmarkEnd w:id="169"/>
      <w:bookmarkEnd w:id="170"/>
      <w:bookmarkEnd w:id="171"/>
    </w:p>
    <w:p w14:paraId="6896991F">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bookmarkStart w:id="172" w:name="_Toc3871"/>
      <w:bookmarkStart w:id="173" w:name="_Toc14816"/>
      <w:bookmarkStart w:id="174" w:name="_Toc15007"/>
      <w:bookmarkStart w:id="175" w:name="_Toc8279"/>
      <w:bookmarkStart w:id="176" w:name="_Toc21858"/>
      <w:r>
        <w:rPr>
          <w:rFonts w:hint="default" w:ascii="Times New Roman" w:hAnsi="Times New Roman" w:eastAsia="仿宋_GB2312" w:cs="Times New Roman"/>
          <w:color w:val="000000"/>
          <w:sz w:val="32"/>
          <w:szCs w:val="32"/>
        </w:rPr>
        <w:t>严格落实安全生产责任制，推进安全生产治本攻坚三年行动，聚焦道路交通、消防、燃气、建筑施工、特种设备、危化品、食品药品等重点领域，深入开展排查整治，及时消除安全风险隐患，提升本质安全水平。</w:t>
      </w:r>
    </w:p>
    <w:p w14:paraId="2D23E0F5">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加强气象、水利、地质灾害监测预报预警，精准把握各类自然灾害风险规律，有针对性地组织做好风险研判，扎实做好各项防范应对工作，提高防灾减灾救灾和重大突发公共事件处置保障能力。加强对建设工程抗震设防强制性标准执行情况的监督管理，积极推广减隔震新技术新材料应用。</w:t>
      </w:r>
    </w:p>
    <w:p w14:paraId="46FB3B5E">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开展本地风险评估，研判本地可能存在的政治安全风险、社会稳定风险、社会治安风险、公共安全风险、网络安全风险，提高风险早期识别和预报预警能力。</w:t>
      </w:r>
    </w:p>
    <w:p w14:paraId="6239BC05">
      <w:pPr>
        <w:keepNext/>
        <w:keepLines/>
        <w:pageBreakBefore w:val="0"/>
        <w:widowControl/>
        <w:kinsoku/>
        <w:wordWrap/>
        <w:overflowPunct/>
        <w:autoSpaceDE/>
        <w:autoSpaceDN/>
        <w:bidi w:val="0"/>
        <w:snapToGrid/>
        <w:spacing w:line="570" w:lineRule="exact"/>
        <w:jc w:val="center"/>
        <w:textAlignment w:val="auto"/>
        <w:outlineLvl w:val="1"/>
        <w:rPr>
          <w:rFonts w:hint="default" w:ascii="Times New Roman" w:hAnsi="Times New Roman" w:eastAsia="仿宋_GB2312" w:cs="Times New Roman"/>
          <w:color w:val="000000"/>
          <w:sz w:val="32"/>
          <w:szCs w:val="32"/>
        </w:rPr>
      </w:pPr>
      <w:bookmarkStart w:id="177" w:name="_Toc16838"/>
      <w:bookmarkStart w:id="178" w:name="_Toc9233"/>
      <w:r>
        <w:rPr>
          <w:rFonts w:hint="default" w:ascii="Times New Roman" w:hAnsi="Times New Roman" w:eastAsia="楷体" w:cs="Times New Roman"/>
          <w:b/>
          <w:color w:val="000000"/>
          <w:sz w:val="32"/>
          <w:szCs w:val="28"/>
          <w:lang w:bidi="ar"/>
        </w:rPr>
        <w:t xml:space="preserve">第三节 </w:t>
      </w:r>
      <w:bookmarkEnd w:id="172"/>
      <w:bookmarkEnd w:id="173"/>
      <w:bookmarkEnd w:id="174"/>
      <w:bookmarkEnd w:id="175"/>
      <w:bookmarkEnd w:id="176"/>
      <w:r>
        <w:rPr>
          <w:rFonts w:hint="default" w:ascii="Times New Roman" w:hAnsi="Times New Roman" w:eastAsia="楷体_GB2312" w:cs="Times New Roman"/>
          <w:b/>
          <w:bCs/>
          <w:color w:val="000000"/>
          <w:sz w:val="32"/>
          <w:szCs w:val="32"/>
        </w:rPr>
        <w:t>有效防范化解重点领域风险</w:t>
      </w:r>
      <w:bookmarkEnd w:id="177"/>
      <w:bookmarkEnd w:id="178"/>
    </w:p>
    <w:p w14:paraId="44F5EE98">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进一步提高防范化解重点领域风险能力，完善住房保障体系建设，统筹推进房地产、地方政府债务、中小金融机构等风险有序化解，严防系统性风险。有效防控金融风险，严厉打击非法集资、违规融资担保行为，坚决守住不发生系统性、区域性金融风险底线。</w:t>
      </w:r>
    </w:p>
    <w:p w14:paraId="28E50EFF">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加强新兴领域风险防范应对，加强网络、数据、人工智能、生态等领域风险隐患排查，筑牢安全防线。严格落实网络意识形态工作责任制，加强网络意识形态阵地管理。</w:t>
      </w:r>
    </w:p>
    <w:p w14:paraId="51CD04AE">
      <w:pPr>
        <w:keepNext/>
        <w:keepLines/>
        <w:pageBreakBefore w:val="0"/>
        <w:widowControl/>
        <w:kinsoku/>
        <w:wordWrap/>
        <w:overflowPunct/>
        <w:autoSpaceDE/>
        <w:autoSpaceDN/>
        <w:bidi w:val="0"/>
        <w:snapToGrid/>
        <w:spacing w:line="570" w:lineRule="exact"/>
        <w:jc w:val="center"/>
        <w:textAlignment w:val="auto"/>
        <w:outlineLvl w:val="1"/>
        <w:rPr>
          <w:rFonts w:hint="default" w:ascii="Times New Roman" w:hAnsi="Times New Roman" w:eastAsia="楷体" w:cs="Times New Roman"/>
          <w:b/>
          <w:color w:val="000000"/>
          <w:sz w:val="32"/>
          <w:szCs w:val="28"/>
          <w:lang w:bidi="ar"/>
        </w:rPr>
      </w:pPr>
      <w:bookmarkStart w:id="179" w:name="_Toc11684"/>
      <w:bookmarkStart w:id="180" w:name="_Toc7013"/>
      <w:bookmarkStart w:id="181" w:name="_Toc9944"/>
      <w:bookmarkStart w:id="182" w:name="_Toc27634"/>
      <w:bookmarkStart w:id="183" w:name="_Toc8203"/>
      <w:bookmarkStart w:id="184" w:name="_Toc15849"/>
      <w:bookmarkStart w:id="185" w:name="_Toc3236"/>
      <w:r>
        <w:rPr>
          <w:rFonts w:hint="default" w:ascii="Times New Roman" w:hAnsi="Times New Roman" w:eastAsia="楷体" w:cs="Times New Roman"/>
          <w:b/>
          <w:color w:val="000000"/>
          <w:sz w:val="32"/>
          <w:szCs w:val="28"/>
          <w:lang w:bidi="ar"/>
        </w:rPr>
        <w:t>第四节 完善现代化应急管理体系</w:t>
      </w:r>
      <w:bookmarkEnd w:id="179"/>
      <w:bookmarkEnd w:id="180"/>
      <w:bookmarkEnd w:id="181"/>
      <w:bookmarkEnd w:id="182"/>
      <w:bookmarkEnd w:id="183"/>
      <w:bookmarkEnd w:id="184"/>
      <w:bookmarkEnd w:id="185"/>
    </w:p>
    <w:p w14:paraId="3D84FCC4">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构建权责清晰、响应高效、防控精准的现代化应急管理体系。深化体制机制改革，加强责任体系建设，健全党政领导干部安全生产责任链条。</w:t>
      </w:r>
    </w:p>
    <w:p w14:paraId="71C5BEC9">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推动市政消火栓、消防水鹤补建增配，坚持城乡统筹、因地制宜、科技赋能，按照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城市建强、农村补齐、智能管理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的总体思路，将消防水源建设深度融入新型城镇化建设和乡村振兴战略。推进一级消防站建设，夯实应急救援基础。优化装备结构配置，按照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实战导向、分类分级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原则，优化消防车辆装备配备结构，重点增配特种专业设备、智能化装备、特殊防火及防护装备等高精尖装备。</w:t>
      </w:r>
    </w:p>
    <w:p w14:paraId="30A05E1E">
      <w:pPr>
        <w:pageBreakBefore w:val="0"/>
        <w:kinsoku/>
        <w:wordWrap/>
        <w:overflowPunct/>
        <w:topLine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持续推进应急救援队伍建设，积极招录专业人员，提升从业人员整体素质水平。优化应急预案实用性，定期开展应急演练，提升应急处置能力和专业化水平。建设县级综合应急物资储备库，增加高新技术、特种专用物资比例。设置应急避难场所，配套建设应急基础设施，保障受灾人员基本生存需求，有效提升应急避难场所承载能力。</w:t>
      </w:r>
    </w:p>
    <w:p w14:paraId="3C8D3691">
      <w:pPr>
        <w:pageBreakBefore w:val="0"/>
        <w:kinsoku/>
        <w:wordWrap/>
        <w:overflowPunct/>
        <w:topLine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构建全方位检测网络，打通部门数据壁垒，升级应急管理数字化平台，完善智慧物资储备与调运体系，强化数智技术在应急场景的应用。</w:t>
      </w:r>
    </w:p>
    <w:p w14:paraId="530C5DE3">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深化安全宣传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五进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，科普安全生产和防灾减灾救灾知识，增强群众安全意识，提升安全与防灾减灾救灾能力。</w:t>
      </w:r>
    </w:p>
    <w:p w14:paraId="67FA2C30">
      <w:pPr>
        <w:keepNext/>
        <w:keepLines/>
        <w:pageBreakBefore w:val="0"/>
        <w:widowControl/>
        <w:kinsoku/>
        <w:wordWrap/>
        <w:overflowPunct/>
        <w:autoSpaceDE/>
        <w:autoSpaceDN/>
        <w:bidi w:val="0"/>
        <w:snapToGrid/>
        <w:spacing w:line="570" w:lineRule="exact"/>
        <w:jc w:val="center"/>
        <w:textAlignment w:val="auto"/>
        <w:outlineLvl w:val="1"/>
        <w:rPr>
          <w:rFonts w:hint="default" w:ascii="Times New Roman" w:hAnsi="Times New Roman" w:eastAsia="楷体" w:cs="Times New Roman"/>
          <w:b/>
          <w:color w:val="000000"/>
          <w:sz w:val="32"/>
          <w:szCs w:val="28"/>
          <w:lang w:bidi="ar"/>
        </w:rPr>
      </w:pPr>
      <w:bookmarkStart w:id="186" w:name="_Toc9338"/>
      <w:bookmarkStart w:id="187" w:name="_Toc25906"/>
      <w:bookmarkStart w:id="188" w:name="_Toc4854"/>
      <w:bookmarkStart w:id="189" w:name="_Toc4315"/>
      <w:bookmarkStart w:id="190" w:name="_Toc31960"/>
      <w:bookmarkStart w:id="191" w:name="_Toc12082"/>
      <w:bookmarkStart w:id="192" w:name="_Toc18595"/>
      <w:r>
        <w:rPr>
          <w:rFonts w:hint="default" w:ascii="Times New Roman" w:hAnsi="Times New Roman" w:eastAsia="楷体" w:cs="Times New Roman"/>
          <w:b/>
          <w:color w:val="000000"/>
          <w:sz w:val="32"/>
          <w:szCs w:val="28"/>
          <w:lang w:bidi="ar"/>
        </w:rPr>
        <w:t>第五节 完善社会治理体系</w:t>
      </w:r>
      <w:bookmarkEnd w:id="186"/>
      <w:bookmarkEnd w:id="187"/>
      <w:bookmarkEnd w:id="188"/>
      <w:bookmarkEnd w:id="189"/>
      <w:bookmarkEnd w:id="190"/>
      <w:bookmarkEnd w:id="191"/>
      <w:bookmarkEnd w:id="192"/>
    </w:p>
    <w:p w14:paraId="7F0E5A08">
      <w:pPr>
        <w:pageBreakBefore w:val="0"/>
        <w:kinsoku/>
        <w:wordWrap/>
        <w:overflowPunct/>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93" w:name="_Toc519"/>
      <w:bookmarkStart w:id="194" w:name="_Toc19590"/>
      <w:r>
        <w:rPr>
          <w:rFonts w:hint="default" w:ascii="Times New Roman" w:hAnsi="Times New Roman" w:eastAsia="仿宋_GB2312" w:cs="Times New Roman"/>
          <w:b/>
          <w:color w:val="000000"/>
          <w:sz w:val="32"/>
          <w:szCs w:val="28"/>
        </w:rPr>
        <w:t>一、完善社会治安防控体系</w:t>
      </w:r>
      <w:bookmarkEnd w:id="193"/>
      <w:bookmarkEnd w:id="194"/>
    </w:p>
    <w:p w14:paraId="60749993">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预防警务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，构建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主动型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治安防控体系。推进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情指行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一体化联动的情报指挥体系，强化公安机关技术手段建设，实现预警精准、指挥高效、行动协同。</w:t>
      </w:r>
    </w:p>
    <w:p w14:paraId="637456B0">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推进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智慧公安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战略，提升核心战斗力。合法合规打破警种数据壁垒，搭建县级</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公安数据池</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。探索AI在追逃、电诈预警、涉网线索挖掘等场景的应用。</w:t>
      </w:r>
    </w:p>
    <w:p w14:paraId="3C88403C">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优化公共安全治理。推进现代科技与社会治理深度融合，服务保障民生。实现道路交通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智慧治堵</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与</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精准治危</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，用大数据分析拥堵黑点，优化信号灯配时。</w:t>
      </w:r>
    </w:p>
    <w:p w14:paraId="153979F5">
      <w:pPr>
        <w:pageBreakBefore w:val="0"/>
        <w:kinsoku/>
        <w:wordWrap/>
        <w:overflowPunct/>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95" w:name="_Toc8851"/>
      <w:bookmarkStart w:id="196" w:name="_Toc5543"/>
      <w:r>
        <w:rPr>
          <w:rFonts w:hint="default" w:ascii="Times New Roman" w:hAnsi="Times New Roman" w:eastAsia="仿宋_GB2312" w:cs="Times New Roman"/>
          <w:b/>
          <w:color w:val="000000"/>
          <w:sz w:val="32"/>
          <w:szCs w:val="28"/>
        </w:rPr>
        <w:t>二、完善社会矛盾调处体系</w:t>
      </w:r>
      <w:bookmarkEnd w:id="195"/>
      <w:bookmarkEnd w:id="196"/>
    </w:p>
    <w:p w14:paraId="4CF584F2">
      <w:pPr>
        <w:pageBreakBefore w:val="0"/>
        <w:kinsoku/>
        <w:wordWrap/>
        <w:overflowPunct/>
        <w:topLine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坚持和发展新时代</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枫桥经验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，加强基层矛盾纠纷排查化解，发挥行业性、专业性调解组织作用，发挥党员、乡贤、网格员、专业社工等群体作用，切实将矛盾隐患化解在萌芽状态，严防</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民转刑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等极端案事件发生。</w:t>
      </w:r>
    </w:p>
    <w:p w14:paraId="6A7D6F8F">
      <w:pPr>
        <w:pageBreakBefore w:val="0"/>
        <w:kinsoku/>
        <w:wordWrap/>
        <w:overflowPunct/>
        <w:topLine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认真贯彻落实信访工作法治化要求，加强综治中心规范化建设，依法维护群众合法权益，形成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预防在初始、化解在源头、息访在基层</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的信访工作态势，促进信访工作高质效提升。</w:t>
      </w:r>
    </w:p>
    <w:p w14:paraId="1E6C5062">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积极推进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巨鹿县矛盾纠纷排查化解信息化平台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建设，对矛盾纠纷进行智能分析，精准预警。</w:t>
      </w:r>
    </w:p>
    <w:p w14:paraId="06EDBF7A">
      <w:pPr>
        <w:pageBreakBefore w:val="0"/>
        <w:kinsoku/>
        <w:wordWrap/>
        <w:overflowPunct/>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bookmarkStart w:id="197" w:name="_Toc17298"/>
      <w:bookmarkStart w:id="198" w:name="_Toc25283"/>
      <w:r>
        <w:rPr>
          <w:rFonts w:hint="default" w:ascii="Times New Roman" w:hAnsi="Times New Roman" w:eastAsia="仿宋_GB2312" w:cs="Times New Roman"/>
          <w:b/>
          <w:color w:val="000000"/>
          <w:sz w:val="32"/>
          <w:szCs w:val="28"/>
        </w:rPr>
        <w:t>三、完善基层组织治理体系</w:t>
      </w:r>
      <w:bookmarkEnd w:id="197"/>
      <w:bookmarkEnd w:id="198"/>
    </w:p>
    <w:p w14:paraId="218DBE39">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党建引领，健全自治、法治、德治相融合的基层社会治理体系。加强乡村治理，完善社区治理，发挥居民公约、村规民约等作用，引导群众有序参与社会治理。深化社会治安整体防控体系和能力建设，发展壮大群防群治力量。</w:t>
      </w:r>
    </w:p>
    <w:p w14:paraId="44701C99">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发挥志愿服务和社会工作专业人才队伍建设协调机制作用，深化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鹿力同心  一鹿有我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志愿服务品牌建设，规范志愿服务组织运行，营造人人有责、人人尽责、人人享有的共建、共治、共享社会治理格局。</w:t>
      </w:r>
    </w:p>
    <w:p w14:paraId="15D9AA68">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落实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九五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普法规划，围绕宪法、民法典等重点内容，开展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法律九进</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活动。利用新媒体平台推送普法内容提升群众法治素养。培育人民调解品牌，发展人民调解员队伍，力争矛盾纠纷调解成功率达98%以上。</w:t>
      </w:r>
    </w:p>
    <w:p w14:paraId="04F002BE">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以打击整治</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村霸</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等农村黑恶势力专项行动、扫黑除恶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打伞破网</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三年专项行动为抓手，持续推进常态化扫黑除恶斗争走深走实。</w:t>
      </w:r>
    </w:p>
    <w:p w14:paraId="5A3BA1F0">
      <w:pPr>
        <w:pageBreakBefore w:val="0"/>
        <w:kinsoku/>
        <w:wordWrap/>
        <w:overflowPunct/>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b/>
          <w:color w:val="000000"/>
          <w:sz w:val="32"/>
          <w:szCs w:val="28"/>
        </w:rPr>
      </w:pPr>
      <w:r>
        <w:rPr>
          <w:rFonts w:hint="default" w:ascii="Times New Roman" w:hAnsi="Times New Roman" w:eastAsia="仿宋_GB2312" w:cs="Times New Roman"/>
          <w:color w:val="000000"/>
          <w:sz w:val="32"/>
          <w:szCs w:val="32"/>
        </w:rPr>
        <w:t>推进县、乡两级综治中心规范化建设，推动管理和服务下沉，加强城乡网格化服务管理，优化基层公共服务，提高对社会治理要素的精准化管理水平。</w:t>
      </w:r>
    </w:p>
    <w:p w14:paraId="7F2CB510">
      <w:pPr>
        <w:pageBreakBefore w:val="0"/>
        <w:kinsoku/>
        <w:wordWrap/>
        <w:overflowPunct/>
        <w:autoSpaceDE/>
        <w:autoSpaceDN/>
        <w:bidi w:val="0"/>
        <w:adjustRightInd w:val="0"/>
        <w:snapToGrid/>
        <w:spacing w:line="570" w:lineRule="exact"/>
        <w:ind w:firstLine="643" w:firstLineChars="200"/>
        <w:textAlignment w:val="auto"/>
        <w:rPr>
          <w:rFonts w:hint="default" w:ascii="Times New Roman" w:hAnsi="Times New Roman" w:eastAsia="仿宋_GB2312" w:cs="Times New Roman"/>
          <w:b/>
          <w:color w:val="000000"/>
          <w:sz w:val="32"/>
          <w:szCs w:val="28"/>
        </w:rPr>
      </w:pPr>
      <w:r>
        <w:rPr>
          <w:rFonts w:hint="default" w:ascii="Times New Roman" w:hAnsi="Times New Roman" w:eastAsia="仿宋_GB2312" w:cs="Times New Roman"/>
          <w:b/>
          <w:color w:val="000000"/>
          <w:sz w:val="32"/>
          <w:szCs w:val="28"/>
        </w:rPr>
        <w:t>四、持续推进法治巨鹿建设</w:t>
      </w:r>
    </w:p>
    <w:p w14:paraId="02C1DC1F">
      <w:pPr>
        <w:pageBreakBefore w:val="0"/>
        <w:kinsoku/>
        <w:wordWrap/>
        <w:overflowPunct/>
        <w:autoSpaceDE/>
        <w:autoSpaceDN/>
        <w:bidi w:val="0"/>
        <w:snapToGrid/>
        <w:spacing w:line="570" w:lineRule="exact"/>
        <w:ind w:firstLine="640" w:firstLineChars="200"/>
        <w:textAlignment w:val="auto"/>
        <w:rPr>
          <w:rFonts w:hint="default" w:ascii="Times New Roman" w:hAnsi="Times New Roman" w:eastAsia="仿宋_GB2312" w:cs="Times New Roman"/>
          <w:color w:val="000000"/>
          <w:sz w:val="32"/>
          <w:szCs w:val="24"/>
        </w:rPr>
      </w:pPr>
      <w:r>
        <w:rPr>
          <w:rFonts w:hint="default" w:ascii="Times New Roman" w:hAnsi="Times New Roman" w:eastAsia="仿宋_GB2312" w:cs="Times New Roman"/>
          <w:color w:val="000000"/>
          <w:sz w:val="32"/>
          <w:szCs w:val="24"/>
        </w:rPr>
        <w:t>深入贯彻习近平法治思想，运用法治思维和法治方式保障权益、化解矛盾、防范风险、维护稳定，统筹推进科学立法、严格执法、公正司法、全民守法，推动社会治理在法治轨道上运行。强化顶层设计，统筹规划法治巨鹿、法治政府、法治社会。加快推进法治政府建设。完善</w:t>
      </w:r>
      <w:r>
        <w:rPr>
          <w:rFonts w:hint="default" w:ascii="Times New Roman" w:hAnsi="Times New Roman" w:eastAsia="仿宋_GB2312" w:cs="Times New Roman"/>
          <w:color w:val="000000"/>
          <w:sz w:val="32"/>
          <w:szCs w:val="32"/>
        </w:rPr>
        <w:t>行政执法协调监督省市县乡四级工作体系，建立健全行政执法监督与纪检监察、行政复议等联动机制，强化行政执法常态化监督。健全完善覆盖城乡</w:t>
      </w:r>
      <w:r>
        <w:rPr>
          <w:rFonts w:hint="default" w:ascii="Times New Roman" w:hAnsi="Times New Roman" w:eastAsia="仿宋_GB2312" w:cs="Times New Roman"/>
          <w:color w:val="000000"/>
          <w:sz w:val="32"/>
          <w:szCs w:val="24"/>
        </w:rPr>
        <w:t>、便捷高效、均等普惠的现代公共法律服务体系。</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14:paraId="568A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0" w:type="dxa"/>
            <w:noWrap w:val="0"/>
            <w:vAlign w:val="center"/>
          </w:tcPr>
          <w:p w14:paraId="04FA56CA">
            <w:pPr>
              <w:spacing w:line="600" w:lineRule="exact"/>
              <w:jc w:val="center"/>
              <w:rPr>
                <w:rFonts w:hint="default" w:ascii="Times New Roman" w:hAnsi="Times New Roman" w:eastAsia="楷体" w:cs="Times New Roman"/>
                <w:color w:val="000000"/>
                <w:sz w:val="28"/>
                <w:szCs w:val="28"/>
                <w:lang w:eastAsia="zh-CN"/>
              </w:rPr>
            </w:pPr>
            <w:r>
              <w:rPr>
                <w:rFonts w:hint="default" w:ascii="Times New Roman" w:hAnsi="Times New Roman" w:eastAsia="楷体" w:cs="Times New Roman"/>
                <w:b/>
                <w:bCs/>
                <w:color w:val="000000"/>
                <w:sz w:val="28"/>
                <w:szCs w:val="28"/>
              </w:rPr>
              <w:t>专栏1</w:t>
            </w:r>
            <w:r>
              <w:rPr>
                <w:rFonts w:hint="default" w:ascii="Times New Roman" w:hAnsi="Times New Roman" w:eastAsia="楷体" w:cs="Times New Roman"/>
                <w:b/>
                <w:bCs/>
                <w:color w:val="000000"/>
                <w:sz w:val="28"/>
                <w:szCs w:val="28"/>
                <w:lang w:val="en-US" w:eastAsia="zh-CN"/>
              </w:rPr>
              <w:t>1</w:t>
            </w:r>
            <w:r>
              <w:rPr>
                <w:rFonts w:hint="default" w:ascii="Times New Roman" w:hAnsi="Times New Roman" w:eastAsia="楷体" w:cs="Times New Roman"/>
                <w:b/>
                <w:bCs/>
                <w:color w:val="000000"/>
                <w:sz w:val="28"/>
                <w:szCs w:val="28"/>
              </w:rPr>
              <w:t>-</w:t>
            </w:r>
            <w:r>
              <w:rPr>
                <w:rFonts w:hint="default" w:ascii="Times New Roman" w:hAnsi="Times New Roman" w:eastAsia="楷体" w:cs="Times New Roman"/>
                <w:b/>
                <w:bCs/>
                <w:color w:val="000000"/>
                <w:sz w:val="28"/>
                <w:szCs w:val="28"/>
                <w:lang w:val="en-US" w:eastAsia="zh-CN"/>
              </w:rPr>
              <w:t>1</w:t>
            </w:r>
            <w:r>
              <w:rPr>
                <w:rFonts w:hint="default" w:ascii="Times New Roman" w:hAnsi="Times New Roman" w:eastAsia="楷体" w:cs="Times New Roman"/>
                <w:b/>
                <w:bCs/>
                <w:color w:val="000000"/>
                <w:sz w:val="28"/>
                <w:szCs w:val="28"/>
              </w:rPr>
              <w:t xml:space="preserve"> 平安巨鹿建设</w:t>
            </w:r>
            <w:r>
              <w:rPr>
                <w:rFonts w:hint="default" w:ascii="Times New Roman" w:hAnsi="Times New Roman" w:eastAsia="楷体" w:cs="Times New Roman"/>
                <w:b/>
                <w:bCs/>
                <w:color w:val="000000"/>
                <w:sz w:val="28"/>
                <w:szCs w:val="28"/>
                <w:lang w:eastAsia="zh-CN"/>
              </w:rPr>
              <w:t>项目</w:t>
            </w:r>
          </w:p>
        </w:tc>
      </w:tr>
      <w:tr w14:paraId="3C39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800" w:type="dxa"/>
            <w:noWrap w:val="0"/>
            <w:vAlign w:val="center"/>
          </w:tcPr>
          <w:p w14:paraId="1B0FEB53">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rPr>
              <w:t>1.市政消火栓、消防水鹤补建增配</w:t>
            </w:r>
            <w:r>
              <w:rPr>
                <w:rFonts w:hint="default" w:ascii="Times New Roman" w:hAnsi="Times New Roman" w:eastAsia="仿宋" w:cs="Times New Roman"/>
                <w:color w:val="000000"/>
                <w:sz w:val="24"/>
                <w:szCs w:val="24"/>
                <w:lang w:eastAsia="zh-CN"/>
              </w:rPr>
              <w:t>工程</w:t>
            </w:r>
          </w:p>
          <w:p w14:paraId="7AABF3FD">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lang w:val="en-US" w:eastAsia="zh-CN"/>
              </w:rPr>
              <w:t>2.</w:t>
            </w:r>
            <w:r>
              <w:rPr>
                <w:rFonts w:hint="default" w:ascii="Times New Roman" w:hAnsi="Times New Roman" w:eastAsia="仿宋" w:cs="Times New Roman"/>
                <w:color w:val="000000"/>
                <w:sz w:val="24"/>
                <w:szCs w:val="24"/>
              </w:rPr>
              <w:t>一级消防站建设</w:t>
            </w:r>
            <w:r>
              <w:rPr>
                <w:rFonts w:hint="default" w:ascii="Times New Roman" w:hAnsi="Times New Roman" w:eastAsia="仿宋" w:cs="Times New Roman"/>
                <w:color w:val="000000"/>
                <w:sz w:val="24"/>
                <w:szCs w:val="24"/>
                <w:lang w:eastAsia="zh-CN"/>
              </w:rPr>
              <w:t>项目</w:t>
            </w:r>
          </w:p>
          <w:p w14:paraId="1A1A23D8">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lang w:val="en-US" w:eastAsia="zh-CN"/>
              </w:rPr>
              <w:t>3.</w:t>
            </w:r>
            <w:r>
              <w:rPr>
                <w:rFonts w:hint="default" w:ascii="Times New Roman" w:hAnsi="Times New Roman" w:eastAsia="仿宋" w:cs="Times New Roman"/>
                <w:color w:val="000000"/>
                <w:sz w:val="24"/>
                <w:szCs w:val="24"/>
              </w:rPr>
              <w:t>县级综合应急物资储备库</w:t>
            </w:r>
            <w:r>
              <w:rPr>
                <w:rFonts w:hint="default" w:ascii="Times New Roman" w:hAnsi="Times New Roman" w:eastAsia="仿宋" w:cs="Times New Roman"/>
                <w:color w:val="000000"/>
                <w:sz w:val="24"/>
                <w:szCs w:val="24"/>
                <w:lang w:eastAsia="zh-CN"/>
              </w:rPr>
              <w:t>项目</w:t>
            </w:r>
          </w:p>
          <w:p w14:paraId="67540EC3">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lang w:val="en-US" w:eastAsia="zh-CN"/>
              </w:rPr>
              <w:t>4.</w:t>
            </w:r>
            <w:r>
              <w:rPr>
                <w:rFonts w:hint="default" w:ascii="Times New Roman" w:hAnsi="Times New Roman" w:eastAsia="仿宋" w:cs="Times New Roman"/>
                <w:color w:val="000000"/>
                <w:sz w:val="24"/>
                <w:szCs w:val="24"/>
              </w:rPr>
              <w:t>应急管理数字化平台升级</w:t>
            </w:r>
            <w:r>
              <w:rPr>
                <w:rFonts w:hint="default" w:ascii="Times New Roman" w:hAnsi="Times New Roman" w:eastAsia="仿宋" w:cs="Times New Roman"/>
                <w:color w:val="000000"/>
                <w:sz w:val="24"/>
                <w:szCs w:val="24"/>
                <w:lang w:eastAsia="zh-CN"/>
              </w:rPr>
              <w:t>项目</w:t>
            </w:r>
          </w:p>
          <w:p w14:paraId="4EE21543">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5.</w:t>
            </w:r>
            <w:r>
              <w:rPr>
                <w:rFonts w:hint="default" w:ascii="Times New Roman" w:hAnsi="Times New Roman" w:eastAsia="仿宋" w:cs="Times New Roman"/>
                <w:color w:val="000000"/>
                <w:sz w:val="24"/>
                <w:szCs w:val="24"/>
              </w:rPr>
              <w:t>巨鹿县矛盾纠纷排查化解信息化平台</w:t>
            </w:r>
          </w:p>
          <w:p w14:paraId="482FB305">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lang w:val="en-US" w:eastAsia="zh-CN"/>
              </w:rPr>
              <w:t>6.</w:t>
            </w:r>
            <w:r>
              <w:rPr>
                <w:rFonts w:hint="default" w:ascii="Times New Roman" w:hAnsi="Times New Roman" w:eastAsia="仿宋" w:cs="Times New Roman"/>
                <w:color w:val="000000"/>
                <w:sz w:val="24"/>
                <w:szCs w:val="24"/>
              </w:rPr>
              <w:t>县、乡两级综治中心</w:t>
            </w:r>
            <w:r>
              <w:rPr>
                <w:rFonts w:hint="default" w:ascii="Times New Roman" w:hAnsi="Times New Roman" w:eastAsia="仿宋" w:cs="Times New Roman"/>
                <w:color w:val="000000"/>
                <w:sz w:val="24"/>
                <w:szCs w:val="24"/>
                <w:lang w:eastAsia="zh-CN"/>
              </w:rPr>
              <w:t>项目</w:t>
            </w:r>
          </w:p>
          <w:p w14:paraId="38DB8B05">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8.巨鹿故城遗址安防工程</w:t>
            </w:r>
          </w:p>
          <w:p w14:paraId="32F6DDB5">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9</w:t>
            </w:r>
            <w:r>
              <w:rPr>
                <w:rFonts w:hint="default" w:ascii="Times New Roman" w:hAnsi="Times New Roman" w:eastAsia="仿宋" w:cs="Times New Roman"/>
                <w:color w:val="000000"/>
                <w:sz w:val="24"/>
                <w:szCs w:val="24"/>
              </w:rPr>
              <w:t>.巨鹿县城区中心应急避难场所建设项目</w:t>
            </w:r>
          </w:p>
          <w:p w14:paraId="73E27A57">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lang w:eastAsia="zh-CN"/>
              </w:rPr>
            </w:pPr>
            <w:r>
              <w:rPr>
                <w:rFonts w:hint="default" w:ascii="Times New Roman" w:hAnsi="Times New Roman" w:eastAsia="仿宋" w:cs="Times New Roman"/>
                <w:color w:val="000000"/>
                <w:sz w:val="24"/>
                <w:szCs w:val="24"/>
                <w:lang w:val="en-US" w:eastAsia="zh-CN"/>
              </w:rPr>
              <w:t>10</w:t>
            </w:r>
            <w:r>
              <w:rPr>
                <w:rFonts w:hint="default" w:ascii="Times New Roman" w:hAnsi="Times New Roman" w:eastAsia="仿宋" w:cs="Times New Roman"/>
                <w:color w:val="000000"/>
                <w:sz w:val="24"/>
                <w:szCs w:val="24"/>
              </w:rPr>
              <w:t>.</w:t>
            </w:r>
            <w:r>
              <w:rPr>
                <w:rFonts w:hint="eastAsia" w:ascii="Times New Roman" w:hAnsi="Times New Roman" w:eastAsia="仿宋" w:cs="Times New Roman"/>
                <w:color w:val="000000"/>
                <w:sz w:val="24"/>
                <w:szCs w:val="24"/>
                <w:lang w:eastAsia="zh-CN"/>
              </w:rPr>
              <w:t>“</w:t>
            </w:r>
            <w:r>
              <w:rPr>
                <w:rFonts w:hint="default" w:ascii="Times New Roman" w:hAnsi="Times New Roman" w:eastAsia="仿宋" w:cs="Times New Roman"/>
                <w:color w:val="000000"/>
                <w:sz w:val="24"/>
                <w:szCs w:val="24"/>
              </w:rPr>
              <w:t>情指行</w:t>
            </w:r>
            <w:r>
              <w:rPr>
                <w:rFonts w:hint="eastAsia" w:ascii="Times New Roman" w:hAnsi="Times New Roman" w:eastAsia="仿宋" w:cs="Times New Roman"/>
                <w:color w:val="000000"/>
                <w:sz w:val="24"/>
                <w:szCs w:val="24"/>
                <w:lang w:eastAsia="zh-CN"/>
              </w:rPr>
              <w:t>”</w:t>
            </w:r>
            <w:r>
              <w:rPr>
                <w:rFonts w:hint="default" w:ascii="Times New Roman" w:hAnsi="Times New Roman" w:eastAsia="仿宋" w:cs="Times New Roman"/>
                <w:color w:val="000000"/>
                <w:sz w:val="24"/>
                <w:szCs w:val="24"/>
              </w:rPr>
              <w:t>一体化升级</w:t>
            </w:r>
            <w:r>
              <w:rPr>
                <w:rFonts w:hint="default" w:ascii="Times New Roman" w:hAnsi="Times New Roman" w:eastAsia="仿宋" w:cs="Times New Roman"/>
                <w:color w:val="000000"/>
                <w:sz w:val="24"/>
                <w:szCs w:val="24"/>
                <w:lang w:eastAsia="zh-CN"/>
              </w:rPr>
              <w:t>工程</w:t>
            </w:r>
          </w:p>
          <w:p w14:paraId="2DC54D8F">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11</w:t>
            </w:r>
            <w:r>
              <w:rPr>
                <w:rFonts w:hint="default" w:ascii="Times New Roman" w:hAnsi="Times New Roman" w:eastAsia="仿宋" w:cs="Times New Roman"/>
                <w:color w:val="000000"/>
                <w:sz w:val="24"/>
                <w:szCs w:val="24"/>
              </w:rPr>
              <w:t>.智慧安防小区建设</w:t>
            </w:r>
          </w:p>
          <w:p w14:paraId="1FC211C6">
            <w:pPr>
              <w:keepNext w:val="0"/>
              <w:keepLines w:val="0"/>
              <w:pageBreakBefore w:val="0"/>
              <w:widowControl/>
              <w:kinsoku/>
              <w:wordWrap/>
              <w:overflowPunct/>
              <w:topLinePunct w:val="0"/>
              <w:autoSpaceDE/>
              <w:autoSpaceDN/>
              <w:bidi w:val="0"/>
              <w:adjustRightInd/>
              <w:snapToGrid/>
              <w:spacing w:line="420" w:lineRule="exact"/>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color w:val="000000"/>
                <w:sz w:val="24"/>
                <w:szCs w:val="24"/>
                <w:lang w:val="en-US" w:eastAsia="zh-CN"/>
              </w:rPr>
              <w:t>12</w:t>
            </w:r>
            <w:r>
              <w:rPr>
                <w:rFonts w:hint="default" w:ascii="Times New Roman" w:hAnsi="Times New Roman" w:eastAsia="仿宋" w:cs="Times New Roman"/>
                <w:color w:val="000000"/>
                <w:sz w:val="24"/>
                <w:szCs w:val="24"/>
              </w:rPr>
              <w:t>.公共法律服务惠民工程</w:t>
            </w:r>
          </w:p>
        </w:tc>
      </w:tr>
    </w:tbl>
    <w:p w14:paraId="6D4922BC">
      <w:pPr>
        <w:keepNext/>
        <w:keepLines/>
        <w:pageBreakBefore w:val="0"/>
        <w:numPr>
          <w:ilvl w:val="0"/>
          <w:numId w:val="0"/>
        </w:numPr>
        <w:kinsoku/>
        <w:wordWrap/>
        <w:overflowPunct/>
        <w:topLinePunct w:val="0"/>
        <w:autoSpaceDE/>
        <w:autoSpaceDN/>
        <w:bidi w:val="0"/>
        <w:snapToGrid/>
        <w:spacing w:line="570" w:lineRule="exact"/>
        <w:contextualSpacing/>
        <w:jc w:val="center"/>
        <w:textAlignment w:val="auto"/>
        <w:outlineLvl w:val="0"/>
        <w:rPr>
          <w:rFonts w:hint="default" w:ascii="Times New Roman" w:hAnsi="Times New Roman" w:eastAsia="黑体" w:cs="Times New Roman"/>
          <w:bCs/>
          <w:color w:val="000000"/>
          <w:sz w:val="32"/>
          <w:szCs w:val="28"/>
        </w:rPr>
      </w:pPr>
      <w:bookmarkStart w:id="199" w:name="_Toc2633"/>
      <w:bookmarkStart w:id="200" w:name="_Toc8405"/>
      <w:bookmarkStart w:id="201" w:name="_Toc2869"/>
      <w:r>
        <w:rPr>
          <w:rFonts w:hint="default" w:ascii="Times New Roman" w:hAnsi="Times New Roman" w:eastAsia="黑体" w:cs="Times New Roman"/>
          <w:bCs/>
          <w:color w:val="000000"/>
          <w:sz w:val="32"/>
          <w:szCs w:val="28"/>
        </w:rPr>
        <w:br w:type="page"/>
      </w:r>
      <w:r>
        <w:rPr>
          <w:rFonts w:hint="default" w:ascii="Times New Roman" w:hAnsi="Times New Roman" w:eastAsia="黑体" w:cs="Times New Roman"/>
          <w:bCs/>
          <w:color w:val="000000"/>
          <w:sz w:val="32"/>
          <w:szCs w:val="28"/>
          <w:lang w:val="en-US" w:eastAsia="zh-CN"/>
        </w:rPr>
        <w:t xml:space="preserve">第十三章  </w:t>
      </w:r>
      <w:r>
        <w:rPr>
          <w:rFonts w:hint="default" w:ascii="Times New Roman" w:hAnsi="Times New Roman" w:eastAsia="黑体" w:cs="Times New Roman"/>
          <w:bCs/>
          <w:color w:val="000000"/>
          <w:sz w:val="32"/>
          <w:szCs w:val="28"/>
        </w:rPr>
        <w:t>扎实营造风清气正的政治生态，凝心聚力推动</w:t>
      </w:r>
    </w:p>
    <w:p w14:paraId="0A8AC4BE">
      <w:pPr>
        <w:keepNext/>
        <w:keepLines/>
        <w:pageBreakBefore w:val="0"/>
        <w:numPr>
          <w:ilvl w:val="0"/>
          <w:numId w:val="0"/>
        </w:numPr>
        <w:kinsoku/>
        <w:wordWrap/>
        <w:overflowPunct/>
        <w:topLinePunct w:val="0"/>
        <w:autoSpaceDE/>
        <w:autoSpaceDN/>
        <w:bidi w:val="0"/>
        <w:snapToGrid/>
        <w:spacing w:line="570" w:lineRule="exact"/>
        <w:contextualSpacing/>
        <w:jc w:val="center"/>
        <w:textAlignment w:val="auto"/>
        <w:outlineLvl w:val="0"/>
        <w:rPr>
          <w:rFonts w:hint="default" w:ascii="Times New Roman" w:hAnsi="Times New Roman" w:eastAsia="黑体" w:cs="Times New Roman"/>
          <w:bCs/>
          <w:color w:val="000000"/>
          <w:sz w:val="32"/>
          <w:szCs w:val="28"/>
        </w:rPr>
      </w:pPr>
      <w:r>
        <w:rPr>
          <w:rFonts w:hint="eastAsia" w:ascii="Times New Roman" w:hAnsi="Times New Roman" w:eastAsia="黑体" w:cs="Times New Roman"/>
          <w:bCs/>
          <w:color w:val="000000"/>
          <w:sz w:val="32"/>
          <w:szCs w:val="28"/>
          <w:lang w:eastAsia="zh-CN"/>
        </w:rPr>
        <w:t>“</w:t>
      </w:r>
      <w:r>
        <w:rPr>
          <w:rFonts w:hint="default" w:ascii="Times New Roman" w:hAnsi="Times New Roman" w:eastAsia="黑体" w:cs="Times New Roman"/>
          <w:bCs/>
          <w:color w:val="000000"/>
          <w:sz w:val="32"/>
          <w:szCs w:val="28"/>
        </w:rPr>
        <w:t>十五五</w:t>
      </w:r>
      <w:r>
        <w:rPr>
          <w:rFonts w:hint="eastAsia" w:ascii="Times New Roman" w:hAnsi="Times New Roman" w:eastAsia="黑体" w:cs="Times New Roman"/>
          <w:bCs/>
          <w:color w:val="000000"/>
          <w:sz w:val="32"/>
          <w:szCs w:val="28"/>
          <w:lang w:eastAsia="zh-CN"/>
        </w:rPr>
        <w:t>”</w:t>
      </w:r>
      <w:r>
        <w:rPr>
          <w:rFonts w:hint="default" w:ascii="Times New Roman" w:hAnsi="Times New Roman" w:eastAsia="黑体" w:cs="Times New Roman"/>
          <w:bCs/>
          <w:color w:val="000000"/>
          <w:sz w:val="32"/>
          <w:szCs w:val="28"/>
        </w:rPr>
        <w:t>规划落地见效</w:t>
      </w:r>
      <w:bookmarkEnd w:id="199"/>
      <w:bookmarkEnd w:id="200"/>
      <w:bookmarkEnd w:id="201"/>
    </w:p>
    <w:p w14:paraId="48ABB72A">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坚持和完善党领导经济社会发展的体制机制，增强党的政治领导力、思想引领力、群众组织力、社会号召力，推动思想大解放、能力大提升、作风大转变、工作大落实，把规划蓝图变为美好现实。</w:t>
      </w:r>
    </w:p>
    <w:p w14:paraId="256784BE">
      <w:pPr>
        <w:keepNext/>
        <w:keepLines/>
        <w:pageBreakBefore w:val="0"/>
        <w:widowControl/>
        <w:kinsoku/>
        <w:wordWrap/>
        <w:overflowPunct/>
        <w:topLinePunct w:val="0"/>
        <w:autoSpaceDE/>
        <w:autoSpaceDN/>
        <w:bidi w:val="0"/>
        <w:snapToGrid/>
        <w:spacing w:line="570" w:lineRule="exact"/>
        <w:contextualSpacing/>
        <w:jc w:val="center"/>
        <w:textAlignment w:val="auto"/>
        <w:outlineLvl w:val="1"/>
        <w:rPr>
          <w:rFonts w:hint="default" w:ascii="Times New Roman" w:hAnsi="Times New Roman" w:eastAsia="楷体" w:cs="Times New Roman"/>
          <w:b/>
          <w:color w:val="000000"/>
          <w:sz w:val="32"/>
          <w:szCs w:val="28"/>
          <w:lang w:bidi="ar"/>
        </w:rPr>
      </w:pPr>
      <w:bookmarkStart w:id="202" w:name="_Toc17242"/>
      <w:bookmarkStart w:id="203" w:name="_Toc26156"/>
      <w:bookmarkStart w:id="204" w:name="_Toc3857"/>
      <w:r>
        <w:rPr>
          <w:rFonts w:hint="default" w:ascii="Times New Roman" w:hAnsi="Times New Roman" w:eastAsia="楷体" w:cs="Times New Roman"/>
          <w:b/>
          <w:color w:val="000000"/>
          <w:sz w:val="32"/>
          <w:szCs w:val="28"/>
          <w:lang w:bidi="ar"/>
        </w:rPr>
        <w:t xml:space="preserve">第一节 </w:t>
      </w:r>
      <w:bookmarkEnd w:id="202"/>
      <w:r>
        <w:rPr>
          <w:rFonts w:hint="default" w:ascii="Times New Roman" w:hAnsi="Times New Roman" w:eastAsia="楷体" w:cs="Times New Roman"/>
          <w:b/>
          <w:color w:val="000000"/>
          <w:sz w:val="32"/>
          <w:szCs w:val="28"/>
          <w:lang w:bidi="ar"/>
        </w:rPr>
        <w:t>全面加强党的领导</w:t>
      </w:r>
      <w:bookmarkEnd w:id="203"/>
      <w:bookmarkEnd w:id="204"/>
    </w:p>
    <w:p w14:paraId="518B7638">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坚决维护党中央权威和集中统一领导，坚持政治站位，加强对党忠诚教育，全面落实习近平总书记重要指示批示精神和党中央决策部署，深刻领悟</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两个确立</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的决定性意义，增强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四个意识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、坚定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四个自信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、做到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两个维护</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，始终在思想上政治上行动上同以习近平同志为核心的党中央保持高度一致，推动习近平总书记重要指示批示和党中央决策部署在巨鹿有效落地落实。</w:t>
      </w:r>
    </w:p>
    <w:p w14:paraId="5A043D2C">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持续强化党的创新理论武装，不断提高思想水平和政治能力，深入学习贯彻习近平新时代中国特色社会主义思想。加强和改进党委（党组）理论学习中心组学习，发挥领导干部表率作用。健全干部理论培训常态长效机制，提高政治能力、调查研究能力、科学决策能力、改革攻坚能力、应急处突能力、群众工作能力、抓落实能力。</w:t>
      </w:r>
    </w:p>
    <w:p w14:paraId="3D995907">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认真落实新时代党的组织路线，坚持正确用人导向，坚持把政治标准放在首位，树立和践行正确政绩观，完善干部考核评价体系，推进领导干部能上能下常态化，激励广大干部担当作为。</w:t>
      </w:r>
    </w:p>
    <w:p w14:paraId="4697E54B">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深化新经济组织、新社会组织、新就业群体党建工作，通过单独组建、区域联建等方式，实现党组织应建尽建；加强社会组织培育管理，推动行业协会商会规范化运行；持续打造暖</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阵地、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友好场景</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，加强新业态新就业群体凝聚关爱。加强党建引领基层治理和基层政权建设，全面实施乡镇履行职责事项清单。</w:t>
      </w:r>
    </w:p>
    <w:p w14:paraId="4BAF1174">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健全全面从严治党制度（体系），把严的基调、严的措施、严的氛围长期坚持下去，深入推进党的自我革命，不断增强党自我净化、自我完善、自我革新、自我提高能力。锲而不舍落实中央八项规定及其实施细则精神，推进作风建设常态化长效化，深入开展整治形式主义为基层减负工作。</w:t>
      </w:r>
    </w:p>
    <w:p w14:paraId="07CBC6E6">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完善监督体系，加强政治监督，强化对公权力运行的制约和监督。健全不正之风和腐败问题同查同治机制，着力推进正风反腐一体深化。加强对村巡察工作，明确监督重点，加强组织实施，强化保障措施，推动全面从严治党向基层延伸，打通全面从严治党</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最后一公里</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。坚持无禁区、全覆盖、零容忍，一体推进不敢腐、不能腐、不想腐，营造风清气正的良好政治生态。</w:t>
      </w:r>
    </w:p>
    <w:p w14:paraId="1822595B">
      <w:pPr>
        <w:keepNext/>
        <w:keepLines/>
        <w:pageBreakBefore w:val="0"/>
        <w:widowControl/>
        <w:kinsoku/>
        <w:wordWrap/>
        <w:overflowPunct/>
        <w:topLinePunct w:val="0"/>
        <w:autoSpaceDE/>
        <w:autoSpaceDN/>
        <w:bidi w:val="0"/>
        <w:snapToGrid/>
        <w:spacing w:line="570" w:lineRule="exact"/>
        <w:contextualSpacing/>
        <w:jc w:val="center"/>
        <w:textAlignment w:val="auto"/>
        <w:outlineLvl w:val="1"/>
        <w:rPr>
          <w:rFonts w:hint="default" w:ascii="Times New Roman" w:hAnsi="Times New Roman" w:eastAsia="楷体" w:cs="Times New Roman"/>
          <w:b/>
          <w:color w:val="000000"/>
          <w:sz w:val="32"/>
          <w:szCs w:val="28"/>
          <w:lang w:bidi="ar"/>
        </w:rPr>
      </w:pPr>
      <w:bookmarkStart w:id="205" w:name="_Toc1362"/>
      <w:bookmarkStart w:id="206" w:name="_Toc14619"/>
      <w:bookmarkStart w:id="207" w:name="_Toc14523"/>
      <w:r>
        <w:rPr>
          <w:rFonts w:hint="default" w:ascii="Times New Roman" w:hAnsi="Times New Roman" w:eastAsia="楷体" w:cs="Times New Roman"/>
          <w:b/>
          <w:color w:val="000000"/>
          <w:sz w:val="32"/>
          <w:szCs w:val="28"/>
          <w:lang w:bidi="ar"/>
        </w:rPr>
        <w:t>第二节 推进社会主义民主政治建设</w:t>
      </w:r>
      <w:bookmarkEnd w:id="205"/>
      <w:bookmarkEnd w:id="206"/>
      <w:bookmarkEnd w:id="207"/>
    </w:p>
    <w:p w14:paraId="46E0CAAB">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定不移走中国特色社会主义政治发展道路，坚持党的领导、人民当家作主、依法治国有机统一，发展全过程人民民主。坚持好、完善好、运行好人民代表大会制度，确保国家机关依法行使权力、履行职责，确保人民群众民主权利、合法权益得到维护和实现。适当增加基层人大代表的数量，密切人大代表同人民群众的联系，健全代表联络机制，更好发挥人大代表的作用。</w:t>
      </w:r>
    </w:p>
    <w:p w14:paraId="3CADD854">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40"/>
        </w:rPr>
      </w:pPr>
      <w:r>
        <w:rPr>
          <w:rFonts w:hint="default" w:ascii="Times New Roman" w:hAnsi="Times New Roman" w:eastAsia="仿宋_GB2312" w:cs="Times New Roman"/>
          <w:color w:val="000000"/>
          <w:sz w:val="32"/>
          <w:szCs w:val="32"/>
        </w:rPr>
        <w:t>坚持和完善中国共产党领导的多党合作和政治协商制度，</w:t>
      </w:r>
      <w:r>
        <w:rPr>
          <w:rFonts w:hint="default" w:ascii="Times New Roman" w:hAnsi="Times New Roman" w:eastAsia="仿宋_GB2312" w:cs="Times New Roman"/>
          <w:color w:val="000000"/>
          <w:sz w:val="32"/>
          <w:szCs w:val="40"/>
        </w:rPr>
        <w:t>发挥人民政协作为专门协商机构作用，加强各种协商渠道协同配合，推进协商民主广泛多层制度化发展。</w:t>
      </w:r>
    </w:p>
    <w:p w14:paraId="32360891">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40"/>
        </w:rPr>
      </w:pPr>
      <w:r>
        <w:rPr>
          <w:rFonts w:hint="default" w:ascii="Times New Roman" w:hAnsi="Times New Roman" w:eastAsia="仿宋_GB2312" w:cs="Times New Roman"/>
          <w:color w:val="000000"/>
          <w:sz w:val="32"/>
          <w:szCs w:val="32"/>
        </w:rPr>
        <w:t>健全基层民主制度，健全吸纳民意、汇集民智工作机制。</w:t>
      </w:r>
      <w:r>
        <w:rPr>
          <w:rFonts w:hint="default" w:ascii="Times New Roman" w:hAnsi="Times New Roman" w:eastAsia="仿宋_GB2312" w:cs="Times New Roman"/>
          <w:color w:val="000000"/>
          <w:sz w:val="32"/>
          <w:szCs w:val="40"/>
        </w:rPr>
        <w:t>更好发挥工会、共青团、妇联等人民团体作用，把人民群众紧紧凝聚在党的周围。完善大统战工作格局，健全党委统一领导的大统战工作机制，精准引导各界人士为发展献智聚力，发挥统一战线凝聚人心、汇聚力量的政治作用。</w:t>
      </w:r>
    </w:p>
    <w:p w14:paraId="534DEDC6">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40"/>
        </w:rPr>
      </w:pPr>
      <w:r>
        <w:rPr>
          <w:rFonts w:hint="default" w:ascii="Times New Roman" w:hAnsi="Times New Roman" w:eastAsia="仿宋_GB2312" w:cs="Times New Roman"/>
          <w:color w:val="000000"/>
          <w:sz w:val="32"/>
          <w:szCs w:val="40"/>
        </w:rPr>
        <w:t>落实党的民族工作方针政策，铸牢中华民族共同体意识，开展民族团结进步创建工作，构建互嵌式社会结构和社区环境，依法治理民族事务。</w:t>
      </w:r>
    </w:p>
    <w:p w14:paraId="518238DA">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40"/>
        </w:rPr>
      </w:pPr>
      <w:r>
        <w:rPr>
          <w:rFonts w:hint="default" w:ascii="Times New Roman" w:hAnsi="Times New Roman" w:eastAsia="仿宋_GB2312" w:cs="Times New Roman"/>
          <w:color w:val="000000"/>
          <w:sz w:val="32"/>
          <w:szCs w:val="40"/>
        </w:rPr>
        <w:t>落实新时代党的宗教工作理论和方针政策，系统推进我国宗教中国化巨鹿实践，提高宗教工作法治化水平。</w:t>
      </w:r>
    </w:p>
    <w:p w14:paraId="18D229B6">
      <w:pPr>
        <w:pageBreakBefore w:val="0"/>
        <w:kinsoku/>
        <w:wordWrap/>
        <w:overflowPunct/>
        <w:topLinePunct w:val="0"/>
        <w:autoSpaceDE/>
        <w:autoSpaceDN/>
        <w:bidi w:val="0"/>
        <w:adjustRightInd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40"/>
        </w:rPr>
      </w:pPr>
      <w:r>
        <w:rPr>
          <w:rFonts w:hint="default" w:ascii="Times New Roman" w:hAnsi="Times New Roman" w:eastAsia="仿宋_GB2312" w:cs="Times New Roman"/>
          <w:color w:val="000000"/>
          <w:sz w:val="32"/>
          <w:szCs w:val="40"/>
        </w:rPr>
        <w:t>坚持全面依法治国，协同推进科学立法、严格执法、公正司法、全民守法。强化法治政府建设，强化跨部门执法司法协同和监督，规范司法权力运行，深入推进依法行政，强化检察监督，健全执行体制，推进法治社会建设，加强社会主义法治文化建设，营造全社会崇尚法治、恪守规则、尊重契约、维护公正的良好环境。</w:t>
      </w:r>
    </w:p>
    <w:p w14:paraId="049213DF">
      <w:pPr>
        <w:keepNext/>
        <w:keepLines/>
        <w:pageBreakBefore w:val="0"/>
        <w:widowControl/>
        <w:kinsoku/>
        <w:wordWrap/>
        <w:overflowPunct/>
        <w:topLinePunct w:val="0"/>
        <w:autoSpaceDE/>
        <w:autoSpaceDN/>
        <w:bidi w:val="0"/>
        <w:snapToGrid/>
        <w:spacing w:line="570" w:lineRule="exact"/>
        <w:contextualSpacing/>
        <w:jc w:val="center"/>
        <w:textAlignment w:val="auto"/>
        <w:outlineLvl w:val="1"/>
        <w:rPr>
          <w:rFonts w:hint="default" w:ascii="Times New Roman" w:hAnsi="Times New Roman" w:eastAsia="楷体" w:cs="Times New Roman"/>
          <w:b/>
          <w:color w:val="000000"/>
          <w:sz w:val="32"/>
          <w:szCs w:val="28"/>
          <w:lang w:bidi="ar"/>
        </w:rPr>
      </w:pPr>
      <w:bookmarkStart w:id="208" w:name="_Toc4636"/>
      <w:bookmarkStart w:id="209" w:name="_Toc921"/>
      <w:bookmarkStart w:id="210" w:name="_Toc1739"/>
      <w:r>
        <w:rPr>
          <w:rFonts w:hint="default" w:ascii="Times New Roman" w:hAnsi="Times New Roman" w:eastAsia="楷体" w:cs="Times New Roman"/>
          <w:b/>
          <w:color w:val="000000"/>
          <w:sz w:val="32"/>
          <w:szCs w:val="28"/>
          <w:lang w:bidi="ar"/>
        </w:rPr>
        <w:t>第三节 健全规划制定和落实机制</w:t>
      </w:r>
      <w:bookmarkEnd w:id="208"/>
      <w:bookmarkEnd w:id="209"/>
      <w:bookmarkEnd w:id="210"/>
    </w:p>
    <w:p w14:paraId="5B38BB90">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按照党的二十届四中全会精神及省、市相关要求，制定</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规划</w:t>
      </w:r>
      <w:r>
        <w:rPr>
          <w:rFonts w:hint="default" w:ascii="Times New Roman" w:hAnsi="Times New Roman" w:eastAsia="仿宋_GB2312" w:cs="Times New Roman"/>
          <w:color w:val="000000"/>
          <w:sz w:val="32"/>
          <w:szCs w:val="40"/>
        </w:rPr>
        <w:t>纲要</w:t>
      </w:r>
      <w:r>
        <w:rPr>
          <w:rFonts w:hint="default" w:ascii="Times New Roman" w:hAnsi="Times New Roman" w:eastAsia="仿宋_GB2312" w:cs="Times New Roman"/>
          <w:color w:val="000000"/>
          <w:sz w:val="32"/>
          <w:szCs w:val="32"/>
        </w:rPr>
        <w:t>和专项规划，建立健全规划体系，落实规划实施责任。</w:t>
      </w:r>
    </w:p>
    <w:p w14:paraId="3B12955B">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对规划纲要中涉及本部门、本领域的主要目标与重点任务进行逐项分解，制定专项实施方案，清晰界定责任主体、关键节点、完成时限与推进路线图，形成环环相扣的责任链条，确保各项任务部署能够分阶段、有步骤地落到实处。强化规划刚性约束，加大规划执法监管力度。规划纲要中的约束性指标和安全保障等领域任务，要明确责任主体和进度要求，确保如期完成。规划纲要中的预期性指标和经济发展等领域任务，主要依靠发挥市场主体作用实现，</w:t>
      </w:r>
      <w:r>
        <w:rPr>
          <w:rFonts w:hint="eastAsia" w:eastAsia="仿宋_GB2312" w:cs="Times New Roman"/>
          <w:color w:val="000000"/>
          <w:sz w:val="32"/>
          <w:szCs w:val="32"/>
          <w:lang w:eastAsia="zh-CN"/>
        </w:rPr>
        <w:t>县人民政府</w:t>
      </w:r>
      <w:r>
        <w:rPr>
          <w:rFonts w:hint="default" w:ascii="Times New Roman" w:hAnsi="Times New Roman" w:eastAsia="仿宋_GB2312" w:cs="Times New Roman"/>
          <w:color w:val="000000"/>
          <w:sz w:val="32"/>
          <w:szCs w:val="32"/>
        </w:rPr>
        <w:t>要创造良好的政策环境、体制环境和法治环境。年度计划要贯彻规划纲要提出的发展目标和重点任务，将规划规定的主要指标分解纳入年度计划指标体系，设置年度目标并做好年度间综合平衡，合理确定年度工作重点。</w:t>
      </w:r>
    </w:p>
    <w:p w14:paraId="15959FE4">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发挥党委、政府专职督查队伍的核心作用，发挥监察机关和审计机关对推进规划实施的监督作用，发挥各民主党派、工商联和无党派人士的民主监督作用，将规划实施进展作为常态化督查的重点内容。强化联合督查、信息联动和应用，对重点目标任务、重大政策举措、重大工程项目适时开展专项督查，及时发现问题、纠正偏差，维护规划的权威性，真正做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一张蓝图绘到底</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p>
    <w:p w14:paraId="56467B66">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cs="Times New Roman"/>
          <w:color w:val="000000"/>
        </w:rPr>
      </w:pPr>
      <w:r>
        <w:rPr>
          <w:rFonts w:hint="default" w:ascii="Times New Roman" w:hAnsi="Times New Roman" w:eastAsia="仿宋_GB2312" w:cs="Times New Roman"/>
          <w:color w:val="000000"/>
          <w:sz w:val="32"/>
          <w:szCs w:val="32"/>
        </w:rPr>
        <w:t>完善规划编制、实施、评估、考核链条，加强年度监测分析、中期评估和总结评估，健全动态调整和修订机制。中期评估和总结评估情况按程序提请县委常委会审议，并依法向县人民代表大会常务委员会报告规划实施情况，自觉接受人大监督。强化规划实施考核评价，强化政策协调和规划协同，提升规划实施效能，确保</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各项部署落到实处、取得实效。</w:t>
      </w:r>
    </w:p>
    <w:p w14:paraId="79B2BB05">
      <w:pPr>
        <w:keepNext/>
        <w:keepLines/>
        <w:pageBreakBefore w:val="0"/>
        <w:widowControl/>
        <w:kinsoku/>
        <w:wordWrap/>
        <w:overflowPunct/>
        <w:topLinePunct w:val="0"/>
        <w:autoSpaceDE/>
        <w:autoSpaceDN/>
        <w:bidi w:val="0"/>
        <w:snapToGrid/>
        <w:spacing w:line="570" w:lineRule="exact"/>
        <w:contextualSpacing/>
        <w:jc w:val="center"/>
        <w:textAlignment w:val="auto"/>
        <w:outlineLvl w:val="1"/>
        <w:rPr>
          <w:rFonts w:hint="default" w:ascii="Times New Roman" w:hAnsi="Times New Roman" w:eastAsia="楷体" w:cs="Times New Roman"/>
          <w:b/>
          <w:color w:val="000000"/>
          <w:sz w:val="32"/>
          <w:szCs w:val="28"/>
          <w:lang w:bidi="ar"/>
        </w:rPr>
      </w:pPr>
      <w:bookmarkStart w:id="211" w:name="_Toc11866"/>
      <w:bookmarkStart w:id="212" w:name="_Toc9446"/>
      <w:bookmarkStart w:id="213" w:name="_Toc26226"/>
      <w:r>
        <w:rPr>
          <w:rFonts w:hint="default" w:ascii="Times New Roman" w:hAnsi="Times New Roman" w:eastAsia="楷体" w:cs="Times New Roman"/>
          <w:b/>
          <w:color w:val="000000"/>
          <w:sz w:val="32"/>
          <w:szCs w:val="28"/>
          <w:lang w:bidi="ar"/>
        </w:rPr>
        <w:t>第四节 凝聚社会各方力量</w:t>
      </w:r>
      <w:bookmarkEnd w:id="211"/>
      <w:bookmarkEnd w:id="212"/>
      <w:bookmarkEnd w:id="213"/>
      <w:bookmarkStart w:id="214" w:name="_Toc24084"/>
    </w:p>
    <w:p w14:paraId="50D81255">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健全党领导人大、政府、政协、监察机关、审判机关、检察机关、人民团体、企事业单位、基层群众自治组织、社会组织等制度，落实国有企业党委和事业单位、社区、农村等基层党组织发挥领导作用的制度规定。</w:t>
      </w:r>
    </w:p>
    <w:p w14:paraId="53911AE1">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全面贯彻党的群众路线，将</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为了群众、相信群众、依靠群众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作为一切工作的出发点和落脚点。完善党员、干部联系群众制度，创新互联网时代群众工作方式，拓宽与丰富群众工作的渠道与方式，及时回应与解决人民群众的急难愁盼问题，凝聚最广泛的共识与力量。</w:t>
      </w:r>
    </w:p>
    <w:p w14:paraId="22377AD0">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坚持把全过程人民民主、实质性民主贯穿到县域生活的各个方面。充分发挥人大、政协的监督优势，加强经济社会发展重大问题和涉及群众切身利益问题的协商，健全联系广泛、服务群众的群团工作体系。</w:t>
      </w:r>
    </w:p>
    <w:p w14:paraId="5543106A">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充分激发社会各界和市场主体的创造力，尊重群众首创精神。支持基层干部和群众创新创造，及时总结推广好的经验和做法，营造竞相比学赶超推动规划落实的浓厚氛围，形成推动巨鹿高质量发展的强大合力。</w:t>
      </w:r>
    </w:p>
    <w:p w14:paraId="34DE8A8A">
      <w:pPr>
        <w:pageBreakBefore w:val="0"/>
        <w:kinsoku/>
        <w:wordWrap/>
        <w:overflowPunct/>
        <w:topLinePunct w:val="0"/>
        <w:autoSpaceDE/>
        <w:autoSpaceDN/>
        <w:bidi w:val="0"/>
        <w:snapToGrid/>
        <w:spacing w:line="570" w:lineRule="exact"/>
        <w:ind w:firstLine="640" w:firstLineChars="200"/>
        <w:contextualSpacing/>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强化全过程监督，健全覆盖党内、法律、民主、社会、舆论的立体化监督网络。自觉接受县人民代表大会及其常务委员会的监督检查、县政协的民主监督，强化司法监督和新闻舆论监督，畅通政企、政民信息沟通渠道，主动接受社会各方面的有效监督。</w:t>
      </w:r>
    </w:p>
    <w:p w14:paraId="72700FCF">
      <w:pPr>
        <w:pStyle w:val="17"/>
        <w:pageBreakBefore w:val="0"/>
        <w:kinsoku/>
        <w:wordWrap/>
        <w:overflowPunct/>
        <w:topLinePunct w:val="0"/>
        <w:autoSpaceDE/>
        <w:autoSpaceDN/>
        <w:bidi w:val="0"/>
        <w:adjustRightInd w:val="0"/>
        <w:snapToGrid/>
        <w:spacing w:after="0" w:line="570" w:lineRule="exact"/>
        <w:ind w:left="0" w:leftChars="0" w:firstLine="64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color w:val="000000"/>
          <w:sz w:val="32"/>
          <w:szCs w:val="32"/>
        </w:rPr>
        <w:t>实现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十五五</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规划目标，意义重大，任务艰巨，前景光明。全县上下要更加紧密地团结在以习近平同志为核心的党中央周围，坚定信心、团结奋斗，解放思想、奋发进取，不断开创经济社会高质量发展新局面。</w:t>
      </w:r>
      <w:bookmarkEnd w:id="214"/>
    </w:p>
    <w:sectPr>
      <w:pgSz w:w="11906" w:h="16838"/>
      <w:pgMar w:top="1871" w:right="1531" w:bottom="1701" w:left="1531" w:header="851" w:footer="1134"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幼圆">
    <w:altName w:val="宋体"/>
    <w:panose1 w:val="0201050906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56DA4">
    <w:pPr>
      <w:pStyle w:val="12"/>
      <w:tabs>
        <w:tab w:val="center" w:pos="4140"/>
        <w:tab w:val="right" w:pos="8300"/>
        <w:tab w:val="clear" w:pos="4153"/>
        <w:tab w:val="clear" w:pos="8306"/>
      </w:tabs>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w:t>
    </w:r>
    <w:r>
      <w:rPr>
        <w:sz w:val="24"/>
        <w:szCs w:val="24"/>
      </w:rPr>
      <w:t xml:space="preserve"> 22 -</w:t>
    </w:r>
    <w:r>
      <w:rPr>
        <w:sz w:val="24"/>
        <w:szCs w:val="24"/>
      </w:rPr>
      <w:fldChar w:fldCharType="end"/>
    </w:r>
  </w:p>
  <w:p w14:paraId="0A838A84">
    <w:pPr>
      <w:pStyle w:val="12"/>
      <w:tabs>
        <w:tab w:val="center" w:pos="4140"/>
        <w:tab w:val="right" w:pos="8300"/>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0F007">
    <w:pPr>
      <w:pStyle w:val="12"/>
      <w:tabs>
        <w:tab w:val="center" w:pos="4140"/>
        <w:tab w:val="right" w:pos="8300"/>
        <w:tab w:val="clear" w:pos="4153"/>
        <w:tab w:val="clear" w:pos="8306"/>
      </w:tabs>
      <w:rP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6C775">
    <w:pPr>
      <w:pStyle w:val="12"/>
      <w:tabs>
        <w:tab w:val="center" w:pos="4140"/>
        <w:tab w:val="right" w:pos="8300"/>
        <w:tab w:val="clear" w:pos="4153"/>
        <w:tab w:val="clear" w:pos="8306"/>
      </w:tabs>
      <w:rPr>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9FE73">
    <w:pPr>
      <w:pStyle w:val="12"/>
      <w:jc w:val="center"/>
      <w:rPr>
        <w:rFonts w:ascii="Times New Roman" w:hAnsi="Times New Roman"/>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97DA78">
                          <w:pPr>
                            <w:pStyle w:val="12"/>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97 -</w:t>
                          </w:r>
                          <w:r>
                            <w:rPr>
                              <w:rFonts w:ascii="Times New Roman" w:hAnsi="Times New Roman"/>
                              <w:sz w:val="28"/>
                              <w:szCs w:val="2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14:paraId="4A97DA78">
                    <w:pPr>
                      <w:pStyle w:val="12"/>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97 -</w:t>
                    </w:r>
                    <w:r>
                      <w:rPr>
                        <w:rFonts w:ascii="Times New Roman" w:hAnsi="Times New Roman"/>
                        <w:sz w:val="28"/>
                        <w:szCs w:val="28"/>
                      </w:rPr>
                      <w:fldChar w:fldCharType="end"/>
                    </w:r>
                  </w:p>
                </w:txbxContent>
              </v:textbox>
            </v:shape>
          </w:pict>
        </mc:Fallback>
      </mc:AlternateContent>
    </w:r>
  </w:p>
  <w:p w14:paraId="3F5313E2">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A961E">
    <w:pPr>
      <w:pStyle w:val="13"/>
      <w:pBdr>
        <w:bottom w:val="none" w:color="auto" w:sz="0" w:space="0"/>
      </w:pBdr>
      <w:tabs>
        <w:tab w:val="center" w:pos="4140"/>
        <w:tab w:val="right" w:pos="8300"/>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16F54D"/>
    <w:multiLevelType w:val="singleLevel"/>
    <w:tmpl w:val="6C16F54D"/>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4DF"/>
    <w:rsid w:val="00001E4C"/>
    <w:rsid w:val="00002449"/>
    <w:rsid w:val="00023B99"/>
    <w:rsid w:val="000325E3"/>
    <w:rsid w:val="00033388"/>
    <w:rsid w:val="00044A13"/>
    <w:rsid w:val="00045A02"/>
    <w:rsid w:val="00054852"/>
    <w:rsid w:val="00061314"/>
    <w:rsid w:val="00061E61"/>
    <w:rsid w:val="000637E2"/>
    <w:rsid w:val="0007207B"/>
    <w:rsid w:val="00074E67"/>
    <w:rsid w:val="000778EA"/>
    <w:rsid w:val="00080A4D"/>
    <w:rsid w:val="00084A2C"/>
    <w:rsid w:val="0008565C"/>
    <w:rsid w:val="00091A8B"/>
    <w:rsid w:val="00095A2F"/>
    <w:rsid w:val="000A6A41"/>
    <w:rsid w:val="000B2153"/>
    <w:rsid w:val="000B4CE2"/>
    <w:rsid w:val="000B615C"/>
    <w:rsid w:val="000C0756"/>
    <w:rsid w:val="000C1750"/>
    <w:rsid w:val="000C1B3D"/>
    <w:rsid w:val="000C1D81"/>
    <w:rsid w:val="000C20F7"/>
    <w:rsid w:val="000C3B9F"/>
    <w:rsid w:val="000D0140"/>
    <w:rsid w:val="000D1310"/>
    <w:rsid w:val="000E194C"/>
    <w:rsid w:val="000E4D60"/>
    <w:rsid w:val="000E59CE"/>
    <w:rsid w:val="000F4EFA"/>
    <w:rsid w:val="000F652E"/>
    <w:rsid w:val="00104474"/>
    <w:rsid w:val="001124D1"/>
    <w:rsid w:val="001141C8"/>
    <w:rsid w:val="001143C0"/>
    <w:rsid w:val="00120004"/>
    <w:rsid w:val="00121B46"/>
    <w:rsid w:val="001225C1"/>
    <w:rsid w:val="0012501A"/>
    <w:rsid w:val="0012540C"/>
    <w:rsid w:val="00126302"/>
    <w:rsid w:val="00131A07"/>
    <w:rsid w:val="001410B6"/>
    <w:rsid w:val="00151D0B"/>
    <w:rsid w:val="0015615C"/>
    <w:rsid w:val="0016263C"/>
    <w:rsid w:val="00164A11"/>
    <w:rsid w:val="00171B8E"/>
    <w:rsid w:val="00180B99"/>
    <w:rsid w:val="0018238D"/>
    <w:rsid w:val="00182428"/>
    <w:rsid w:val="00183781"/>
    <w:rsid w:val="0019124B"/>
    <w:rsid w:val="00192382"/>
    <w:rsid w:val="00192834"/>
    <w:rsid w:val="0019556E"/>
    <w:rsid w:val="001B3319"/>
    <w:rsid w:val="001B3DEB"/>
    <w:rsid w:val="001B57AD"/>
    <w:rsid w:val="001B7732"/>
    <w:rsid w:val="001B78B9"/>
    <w:rsid w:val="001C0532"/>
    <w:rsid w:val="001C6FA4"/>
    <w:rsid w:val="001D4209"/>
    <w:rsid w:val="001D67CC"/>
    <w:rsid w:val="001D6A9D"/>
    <w:rsid w:val="001E4202"/>
    <w:rsid w:val="001F0CAB"/>
    <w:rsid w:val="001F4296"/>
    <w:rsid w:val="001F522B"/>
    <w:rsid w:val="00206529"/>
    <w:rsid w:val="00207791"/>
    <w:rsid w:val="00211D6D"/>
    <w:rsid w:val="00214127"/>
    <w:rsid w:val="002255D5"/>
    <w:rsid w:val="00237AEC"/>
    <w:rsid w:val="00241AC9"/>
    <w:rsid w:val="00243818"/>
    <w:rsid w:val="00244BEA"/>
    <w:rsid w:val="0024710C"/>
    <w:rsid w:val="00251F8B"/>
    <w:rsid w:val="002635F0"/>
    <w:rsid w:val="00265721"/>
    <w:rsid w:val="00275346"/>
    <w:rsid w:val="00275BC6"/>
    <w:rsid w:val="00276E64"/>
    <w:rsid w:val="00277841"/>
    <w:rsid w:val="00282CBD"/>
    <w:rsid w:val="0028418F"/>
    <w:rsid w:val="00285167"/>
    <w:rsid w:val="00285BBC"/>
    <w:rsid w:val="00293408"/>
    <w:rsid w:val="002A0614"/>
    <w:rsid w:val="002A2B2F"/>
    <w:rsid w:val="002B0D96"/>
    <w:rsid w:val="002B7EC7"/>
    <w:rsid w:val="002C6027"/>
    <w:rsid w:val="002E2945"/>
    <w:rsid w:val="002E4CC8"/>
    <w:rsid w:val="002F2AFB"/>
    <w:rsid w:val="002F340D"/>
    <w:rsid w:val="003022F5"/>
    <w:rsid w:val="0030729C"/>
    <w:rsid w:val="003119FA"/>
    <w:rsid w:val="00317D8B"/>
    <w:rsid w:val="00320315"/>
    <w:rsid w:val="00321CCD"/>
    <w:rsid w:val="00330781"/>
    <w:rsid w:val="00337D26"/>
    <w:rsid w:val="003426B6"/>
    <w:rsid w:val="0034443B"/>
    <w:rsid w:val="00353E19"/>
    <w:rsid w:val="00355D08"/>
    <w:rsid w:val="003665CF"/>
    <w:rsid w:val="00366FFF"/>
    <w:rsid w:val="003712E6"/>
    <w:rsid w:val="00371A76"/>
    <w:rsid w:val="00372B59"/>
    <w:rsid w:val="00393084"/>
    <w:rsid w:val="0039536A"/>
    <w:rsid w:val="003A4CD7"/>
    <w:rsid w:val="003A52C5"/>
    <w:rsid w:val="003B13FB"/>
    <w:rsid w:val="003B16F4"/>
    <w:rsid w:val="003B268A"/>
    <w:rsid w:val="003B32E9"/>
    <w:rsid w:val="003B4A7E"/>
    <w:rsid w:val="003B7AD1"/>
    <w:rsid w:val="003B7D7E"/>
    <w:rsid w:val="003C2F7B"/>
    <w:rsid w:val="003C3269"/>
    <w:rsid w:val="003C7BC0"/>
    <w:rsid w:val="003D2170"/>
    <w:rsid w:val="003D4999"/>
    <w:rsid w:val="003D5431"/>
    <w:rsid w:val="003E55A5"/>
    <w:rsid w:val="003E5A71"/>
    <w:rsid w:val="003F21D6"/>
    <w:rsid w:val="003F2BA4"/>
    <w:rsid w:val="003F6915"/>
    <w:rsid w:val="00403157"/>
    <w:rsid w:val="00405291"/>
    <w:rsid w:val="00410E1E"/>
    <w:rsid w:val="00412975"/>
    <w:rsid w:val="004154CD"/>
    <w:rsid w:val="00416C54"/>
    <w:rsid w:val="004177D3"/>
    <w:rsid w:val="004235B1"/>
    <w:rsid w:val="004260BF"/>
    <w:rsid w:val="00427A60"/>
    <w:rsid w:val="00432B17"/>
    <w:rsid w:val="00435B38"/>
    <w:rsid w:val="00441F39"/>
    <w:rsid w:val="00452176"/>
    <w:rsid w:val="00452FDA"/>
    <w:rsid w:val="0045455F"/>
    <w:rsid w:val="0045598C"/>
    <w:rsid w:val="00456EED"/>
    <w:rsid w:val="00457A44"/>
    <w:rsid w:val="00461127"/>
    <w:rsid w:val="0046133A"/>
    <w:rsid w:val="00461961"/>
    <w:rsid w:val="0046742C"/>
    <w:rsid w:val="00472CCA"/>
    <w:rsid w:val="00472E48"/>
    <w:rsid w:val="004744FC"/>
    <w:rsid w:val="00476AD4"/>
    <w:rsid w:val="0048409A"/>
    <w:rsid w:val="0048521F"/>
    <w:rsid w:val="004902A9"/>
    <w:rsid w:val="00492767"/>
    <w:rsid w:val="004B1FF0"/>
    <w:rsid w:val="004B5D63"/>
    <w:rsid w:val="004B7BB7"/>
    <w:rsid w:val="004D0621"/>
    <w:rsid w:val="004D61B7"/>
    <w:rsid w:val="004E03DC"/>
    <w:rsid w:val="004E073A"/>
    <w:rsid w:val="004E2611"/>
    <w:rsid w:val="004E262E"/>
    <w:rsid w:val="004E4F7C"/>
    <w:rsid w:val="004F513B"/>
    <w:rsid w:val="0050691A"/>
    <w:rsid w:val="0051179B"/>
    <w:rsid w:val="005224CD"/>
    <w:rsid w:val="00527218"/>
    <w:rsid w:val="00527B25"/>
    <w:rsid w:val="00531552"/>
    <w:rsid w:val="00532DA8"/>
    <w:rsid w:val="005351CF"/>
    <w:rsid w:val="00537D29"/>
    <w:rsid w:val="005404FD"/>
    <w:rsid w:val="00550935"/>
    <w:rsid w:val="00551ADD"/>
    <w:rsid w:val="005548C5"/>
    <w:rsid w:val="005554D5"/>
    <w:rsid w:val="00557D66"/>
    <w:rsid w:val="00562F5B"/>
    <w:rsid w:val="005649D5"/>
    <w:rsid w:val="00565393"/>
    <w:rsid w:val="0056647F"/>
    <w:rsid w:val="00567A6A"/>
    <w:rsid w:val="0057115E"/>
    <w:rsid w:val="005720D7"/>
    <w:rsid w:val="00580BB7"/>
    <w:rsid w:val="005828E5"/>
    <w:rsid w:val="00582B78"/>
    <w:rsid w:val="005850E4"/>
    <w:rsid w:val="00592C1B"/>
    <w:rsid w:val="00592E66"/>
    <w:rsid w:val="005964DA"/>
    <w:rsid w:val="005A12EA"/>
    <w:rsid w:val="005A49DC"/>
    <w:rsid w:val="005B31F3"/>
    <w:rsid w:val="005B3E44"/>
    <w:rsid w:val="005B6C39"/>
    <w:rsid w:val="005B7301"/>
    <w:rsid w:val="005B7BAB"/>
    <w:rsid w:val="005C06DE"/>
    <w:rsid w:val="005D2934"/>
    <w:rsid w:val="005D4E90"/>
    <w:rsid w:val="005D6180"/>
    <w:rsid w:val="005E0AA6"/>
    <w:rsid w:val="005E321D"/>
    <w:rsid w:val="005E617D"/>
    <w:rsid w:val="005E637F"/>
    <w:rsid w:val="005F4C37"/>
    <w:rsid w:val="00602778"/>
    <w:rsid w:val="00603118"/>
    <w:rsid w:val="00605A32"/>
    <w:rsid w:val="006064F0"/>
    <w:rsid w:val="00607304"/>
    <w:rsid w:val="00610550"/>
    <w:rsid w:val="00611881"/>
    <w:rsid w:val="00617598"/>
    <w:rsid w:val="00621E66"/>
    <w:rsid w:val="00622677"/>
    <w:rsid w:val="006232CF"/>
    <w:rsid w:val="006251A6"/>
    <w:rsid w:val="006315F0"/>
    <w:rsid w:val="00635CCF"/>
    <w:rsid w:val="00644606"/>
    <w:rsid w:val="0064761D"/>
    <w:rsid w:val="00650123"/>
    <w:rsid w:val="00650B96"/>
    <w:rsid w:val="00650D9B"/>
    <w:rsid w:val="0065245A"/>
    <w:rsid w:val="00657AA6"/>
    <w:rsid w:val="0066272E"/>
    <w:rsid w:val="0066439C"/>
    <w:rsid w:val="006700A7"/>
    <w:rsid w:val="0067015C"/>
    <w:rsid w:val="006725DE"/>
    <w:rsid w:val="00687A6E"/>
    <w:rsid w:val="00691648"/>
    <w:rsid w:val="00695A3A"/>
    <w:rsid w:val="00695E39"/>
    <w:rsid w:val="00695F50"/>
    <w:rsid w:val="006A0671"/>
    <w:rsid w:val="006A6DFA"/>
    <w:rsid w:val="006A7586"/>
    <w:rsid w:val="006B04E9"/>
    <w:rsid w:val="006B1319"/>
    <w:rsid w:val="006B6BDE"/>
    <w:rsid w:val="006B7470"/>
    <w:rsid w:val="006C1B89"/>
    <w:rsid w:val="006C24D3"/>
    <w:rsid w:val="006C5BD0"/>
    <w:rsid w:val="006C7CDA"/>
    <w:rsid w:val="006D793A"/>
    <w:rsid w:val="006E4042"/>
    <w:rsid w:val="006E6588"/>
    <w:rsid w:val="006E7E21"/>
    <w:rsid w:val="006F0946"/>
    <w:rsid w:val="006F2003"/>
    <w:rsid w:val="007008B8"/>
    <w:rsid w:val="00701074"/>
    <w:rsid w:val="00711D22"/>
    <w:rsid w:val="00715FF5"/>
    <w:rsid w:val="0071744E"/>
    <w:rsid w:val="0072462C"/>
    <w:rsid w:val="00734B49"/>
    <w:rsid w:val="00742F16"/>
    <w:rsid w:val="00743427"/>
    <w:rsid w:val="00747D18"/>
    <w:rsid w:val="0079073E"/>
    <w:rsid w:val="0079229F"/>
    <w:rsid w:val="007A0B32"/>
    <w:rsid w:val="007A1988"/>
    <w:rsid w:val="007A764F"/>
    <w:rsid w:val="007B12CE"/>
    <w:rsid w:val="007B1766"/>
    <w:rsid w:val="007B4E3E"/>
    <w:rsid w:val="007C7E57"/>
    <w:rsid w:val="007D2495"/>
    <w:rsid w:val="007D2D3F"/>
    <w:rsid w:val="007D5543"/>
    <w:rsid w:val="007D77A0"/>
    <w:rsid w:val="007F1851"/>
    <w:rsid w:val="007F3944"/>
    <w:rsid w:val="007F72DA"/>
    <w:rsid w:val="0080340D"/>
    <w:rsid w:val="0082466B"/>
    <w:rsid w:val="008266EB"/>
    <w:rsid w:val="00850A9A"/>
    <w:rsid w:val="00855760"/>
    <w:rsid w:val="00860CE6"/>
    <w:rsid w:val="00861042"/>
    <w:rsid w:val="00862BD9"/>
    <w:rsid w:val="00864498"/>
    <w:rsid w:val="0087217C"/>
    <w:rsid w:val="00873A69"/>
    <w:rsid w:val="00873E3F"/>
    <w:rsid w:val="00874454"/>
    <w:rsid w:val="00883031"/>
    <w:rsid w:val="008926E5"/>
    <w:rsid w:val="00896459"/>
    <w:rsid w:val="0089767C"/>
    <w:rsid w:val="008B4233"/>
    <w:rsid w:val="008B6CAF"/>
    <w:rsid w:val="008B708A"/>
    <w:rsid w:val="008D1B82"/>
    <w:rsid w:val="008D1BC6"/>
    <w:rsid w:val="008D30E4"/>
    <w:rsid w:val="008D7288"/>
    <w:rsid w:val="008E11D4"/>
    <w:rsid w:val="008E4F23"/>
    <w:rsid w:val="008E7B12"/>
    <w:rsid w:val="008F052C"/>
    <w:rsid w:val="008F1BD2"/>
    <w:rsid w:val="008F4378"/>
    <w:rsid w:val="00903DB1"/>
    <w:rsid w:val="00906469"/>
    <w:rsid w:val="00906912"/>
    <w:rsid w:val="00914A5C"/>
    <w:rsid w:val="00917795"/>
    <w:rsid w:val="009201A9"/>
    <w:rsid w:val="00923BAE"/>
    <w:rsid w:val="00924DC1"/>
    <w:rsid w:val="009337D4"/>
    <w:rsid w:val="00935F65"/>
    <w:rsid w:val="00937779"/>
    <w:rsid w:val="00945030"/>
    <w:rsid w:val="00946A1D"/>
    <w:rsid w:val="0095346A"/>
    <w:rsid w:val="0097028A"/>
    <w:rsid w:val="009749F7"/>
    <w:rsid w:val="00977F01"/>
    <w:rsid w:val="0098222D"/>
    <w:rsid w:val="00983AC3"/>
    <w:rsid w:val="00985A82"/>
    <w:rsid w:val="00987BA8"/>
    <w:rsid w:val="00996C68"/>
    <w:rsid w:val="009A0E72"/>
    <w:rsid w:val="009A4CD5"/>
    <w:rsid w:val="009B49EE"/>
    <w:rsid w:val="009B58C4"/>
    <w:rsid w:val="009B61A9"/>
    <w:rsid w:val="009B718A"/>
    <w:rsid w:val="009C0564"/>
    <w:rsid w:val="009C6AEE"/>
    <w:rsid w:val="009D5376"/>
    <w:rsid w:val="009F0F54"/>
    <w:rsid w:val="009F13D5"/>
    <w:rsid w:val="009F43E2"/>
    <w:rsid w:val="009F4C45"/>
    <w:rsid w:val="009F5049"/>
    <w:rsid w:val="00A03252"/>
    <w:rsid w:val="00A12B1B"/>
    <w:rsid w:val="00A2150E"/>
    <w:rsid w:val="00A23457"/>
    <w:rsid w:val="00A23FA7"/>
    <w:rsid w:val="00A256B0"/>
    <w:rsid w:val="00A27966"/>
    <w:rsid w:val="00A342B3"/>
    <w:rsid w:val="00A347A2"/>
    <w:rsid w:val="00A36967"/>
    <w:rsid w:val="00A40F67"/>
    <w:rsid w:val="00A47D7A"/>
    <w:rsid w:val="00A50651"/>
    <w:rsid w:val="00A52014"/>
    <w:rsid w:val="00A54206"/>
    <w:rsid w:val="00A564E0"/>
    <w:rsid w:val="00A601EA"/>
    <w:rsid w:val="00A674B5"/>
    <w:rsid w:val="00A72558"/>
    <w:rsid w:val="00A735BE"/>
    <w:rsid w:val="00A824BD"/>
    <w:rsid w:val="00A826C7"/>
    <w:rsid w:val="00A861DB"/>
    <w:rsid w:val="00A87BF3"/>
    <w:rsid w:val="00A90086"/>
    <w:rsid w:val="00AB1D98"/>
    <w:rsid w:val="00AB6DBD"/>
    <w:rsid w:val="00AC5550"/>
    <w:rsid w:val="00AD3D99"/>
    <w:rsid w:val="00AD5B7A"/>
    <w:rsid w:val="00AE4F3D"/>
    <w:rsid w:val="00AE5C2A"/>
    <w:rsid w:val="00B00DE1"/>
    <w:rsid w:val="00B055A0"/>
    <w:rsid w:val="00B067C5"/>
    <w:rsid w:val="00B117AF"/>
    <w:rsid w:val="00B11938"/>
    <w:rsid w:val="00B14B65"/>
    <w:rsid w:val="00B165AF"/>
    <w:rsid w:val="00B357CB"/>
    <w:rsid w:val="00B40B20"/>
    <w:rsid w:val="00B41733"/>
    <w:rsid w:val="00B55564"/>
    <w:rsid w:val="00B62556"/>
    <w:rsid w:val="00B63EB9"/>
    <w:rsid w:val="00B64528"/>
    <w:rsid w:val="00B66A9D"/>
    <w:rsid w:val="00B725A2"/>
    <w:rsid w:val="00B83DCA"/>
    <w:rsid w:val="00B8505B"/>
    <w:rsid w:val="00B85DDE"/>
    <w:rsid w:val="00B86ACE"/>
    <w:rsid w:val="00B93BB2"/>
    <w:rsid w:val="00B951C3"/>
    <w:rsid w:val="00B955BA"/>
    <w:rsid w:val="00B976D5"/>
    <w:rsid w:val="00BA2D16"/>
    <w:rsid w:val="00BB4EAB"/>
    <w:rsid w:val="00BC670D"/>
    <w:rsid w:val="00BD26E0"/>
    <w:rsid w:val="00BD2C7C"/>
    <w:rsid w:val="00BD5503"/>
    <w:rsid w:val="00BD782F"/>
    <w:rsid w:val="00BE5357"/>
    <w:rsid w:val="00BF0827"/>
    <w:rsid w:val="00BF0976"/>
    <w:rsid w:val="00BF2C43"/>
    <w:rsid w:val="00BF65CD"/>
    <w:rsid w:val="00BF7552"/>
    <w:rsid w:val="00C00155"/>
    <w:rsid w:val="00C01C4E"/>
    <w:rsid w:val="00C053A5"/>
    <w:rsid w:val="00C078F0"/>
    <w:rsid w:val="00C14DCB"/>
    <w:rsid w:val="00C169FD"/>
    <w:rsid w:val="00C27061"/>
    <w:rsid w:val="00C301EC"/>
    <w:rsid w:val="00C3360F"/>
    <w:rsid w:val="00C34909"/>
    <w:rsid w:val="00C37E38"/>
    <w:rsid w:val="00C5304E"/>
    <w:rsid w:val="00C63193"/>
    <w:rsid w:val="00C6578D"/>
    <w:rsid w:val="00C768BB"/>
    <w:rsid w:val="00C8099A"/>
    <w:rsid w:val="00C80C23"/>
    <w:rsid w:val="00C866F3"/>
    <w:rsid w:val="00CB4495"/>
    <w:rsid w:val="00CB5A4F"/>
    <w:rsid w:val="00CB5C08"/>
    <w:rsid w:val="00CC0498"/>
    <w:rsid w:val="00CC7284"/>
    <w:rsid w:val="00CD335A"/>
    <w:rsid w:val="00CD6953"/>
    <w:rsid w:val="00CE1B4E"/>
    <w:rsid w:val="00CE36E5"/>
    <w:rsid w:val="00CE5E58"/>
    <w:rsid w:val="00CF17D9"/>
    <w:rsid w:val="00CF35A0"/>
    <w:rsid w:val="00CF4713"/>
    <w:rsid w:val="00D003C8"/>
    <w:rsid w:val="00D06AA0"/>
    <w:rsid w:val="00D10225"/>
    <w:rsid w:val="00D2049D"/>
    <w:rsid w:val="00D23009"/>
    <w:rsid w:val="00D24D19"/>
    <w:rsid w:val="00D30F0B"/>
    <w:rsid w:val="00D345DC"/>
    <w:rsid w:val="00D37748"/>
    <w:rsid w:val="00D4094B"/>
    <w:rsid w:val="00D40F8E"/>
    <w:rsid w:val="00D432E2"/>
    <w:rsid w:val="00D45201"/>
    <w:rsid w:val="00D459A6"/>
    <w:rsid w:val="00D50BBE"/>
    <w:rsid w:val="00D529B3"/>
    <w:rsid w:val="00D608A7"/>
    <w:rsid w:val="00D65140"/>
    <w:rsid w:val="00D71CCD"/>
    <w:rsid w:val="00D73DB6"/>
    <w:rsid w:val="00D75A16"/>
    <w:rsid w:val="00D75C1C"/>
    <w:rsid w:val="00D815B6"/>
    <w:rsid w:val="00D84711"/>
    <w:rsid w:val="00D86B27"/>
    <w:rsid w:val="00D95F80"/>
    <w:rsid w:val="00DA3778"/>
    <w:rsid w:val="00DA4E6F"/>
    <w:rsid w:val="00DB6108"/>
    <w:rsid w:val="00DB7F31"/>
    <w:rsid w:val="00DC42DA"/>
    <w:rsid w:val="00DC4385"/>
    <w:rsid w:val="00DC5540"/>
    <w:rsid w:val="00DD040F"/>
    <w:rsid w:val="00DD09B4"/>
    <w:rsid w:val="00DD2670"/>
    <w:rsid w:val="00DD39AF"/>
    <w:rsid w:val="00DD50BF"/>
    <w:rsid w:val="00DD5170"/>
    <w:rsid w:val="00DE5E92"/>
    <w:rsid w:val="00DF241A"/>
    <w:rsid w:val="00DF7DFE"/>
    <w:rsid w:val="00E05C31"/>
    <w:rsid w:val="00E07D47"/>
    <w:rsid w:val="00E07E50"/>
    <w:rsid w:val="00E11A97"/>
    <w:rsid w:val="00E27C1E"/>
    <w:rsid w:val="00E3017B"/>
    <w:rsid w:val="00E324DF"/>
    <w:rsid w:val="00E35923"/>
    <w:rsid w:val="00E4135D"/>
    <w:rsid w:val="00E46863"/>
    <w:rsid w:val="00E503A8"/>
    <w:rsid w:val="00E52849"/>
    <w:rsid w:val="00E52A61"/>
    <w:rsid w:val="00E566E1"/>
    <w:rsid w:val="00E5749B"/>
    <w:rsid w:val="00E6470D"/>
    <w:rsid w:val="00E75363"/>
    <w:rsid w:val="00E768C6"/>
    <w:rsid w:val="00E777CC"/>
    <w:rsid w:val="00E8629A"/>
    <w:rsid w:val="00E87911"/>
    <w:rsid w:val="00E900C8"/>
    <w:rsid w:val="00E95928"/>
    <w:rsid w:val="00EA0AEC"/>
    <w:rsid w:val="00EB1885"/>
    <w:rsid w:val="00EB1A40"/>
    <w:rsid w:val="00EB3EBD"/>
    <w:rsid w:val="00EC0A70"/>
    <w:rsid w:val="00EC48D7"/>
    <w:rsid w:val="00ED0495"/>
    <w:rsid w:val="00ED0EF0"/>
    <w:rsid w:val="00ED23DF"/>
    <w:rsid w:val="00ED3B8E"/>
    <w:rsid w:val="00EE2651"/>
    <w:rsid w:val="00EE371A"/>
    <w:rsid w:val="00EE5F90"/>
    <w:rsid w:val="00EF06F3"/>
    <w:rsid w:val="00EF37B6"/>
    <w:rsid w:val="00EF5B1F"/>
    <w:rsid w:val="00F01AAE"/>
    <w:rsid w:val="00F03718"/>
    <w:rsid w:val="00F10A07"/>
    <w:rsid w:val="00F23383"/>
    <w:rsid w:val="00F23BBD"/>
    <w:rsid w:val="00F2445B"/>
    <w:rsid w:val="00F254E6"/>
    <w:rsid w:val="00F312D9"/>
    <w:rsid w:val="00F320CF"/>
    <w:rsid w:val="00F32C3C"/>
    <w:rsid w:val="00F34803"/>
    <w:rsid w:val="00F35A3D"/>
    <w:rsid w:val="00F47CB2"/>
    <w:rsid w:val="00F56146"/>
    <w:rsid w:val="00F63FF2"/>
    <w:rsid w:val="00F641B7"/>
    <w:rsid w:val="00F7295C"/>
    <w:rsid w:val="00F72D90"/>
    <w:rsid w:val="00F73056"/>
    <w:rsid w:val="00F80820"/>
    <w:rsid w:val="00F85C18"/>
    <w:rsid w:val="00F9200E"/>
    <w:rsid w:val="00F9610D"/>
    <w:rsid w:val="00F9782E"/>
    <w:rsid w:val="00FA04AD"/>
    <w:rsid w:val="00FA505C"/>
    <w:rsid w:val="00FA680D"/>
    <w:rsid w:val="00FB0028"/>
    <w:rsid w:val="00FB45BB"/>
    <w:rsid w:val="00FB4DD9"/>
    <w:rsid w:val="00FB50DA"/>
    <w:rsid w:val="00FB5B1D"/>
    <w:rsid w:val="00FB7064"/>
    <w:rsid w:val="00FC3CC6"/>
    <w:rsid w:val="00FE58C6"/>
    <w:rsid w:val="00FE5A84"/>
    <w:rsid w:val="00FE7A68"/>
    <w:rsid w:val="00FF62E1"/>
    <w:rsid w:val="00FF785D"/>
    <w:rsid w:val="01626374"/>
    <w:rsid w:val="01F40669"/>
    <w:rsid w:val="024C2B81"/>
    <w:rsid w:val="028F3691"/>
    <w:rsid w:val="033C2BF5"/>
    <w:rsid w:val="03481FC7"/>
    <w:rsid w:val="03DF1EFE"/>
    <w:rsid w:val="05170705"/>
    <w:rsid w:val="053C512E"/>
    <w:rsid w:val="05430E3D"/>
    <w:rsid w:val="06654211"/>
    <w:rsid w:val="06F15AA5"/>
    <w:rsid w:val="08386081"/>
    <w:rsid w:val="08662D55"/>
    <w:rsid w:val="09FE29B2"/>
    <w:rsid w:val="0AE81C3F"/>
    <w:rsid w:val="0B6D6042"/>
    <w:rsid w:val="0BD75BB1"/>
    <w:rsid w:val="0C4274CE"/>
    <w:rsid w:val="0CE560AB"/>
    <w:rsid w:val="0F0F58B8"/>
    <w:rsid w:val="0F1D38DB"/>
    <w:rsid w:val="0F897DDF"/>
    <w:rsid w:val="10A1053B"/>
    <w:rsid w:val="11673533"/>
    <w:rsid w:val="11C664AC"/>
    <w:rsid w:val="13272F78"/>
    <w:rsid w:val="13345697"/>
    <w:rsid w:val="135E1FA9"/>
    <w:rsid w:val="145E0C1D"/>
    <w:rsid w:val="16573C5D"/>
    <w:rsid w:val="17184319"/>
    <w:rsid w:val="173E6AE4"/>
    <w:rsid w:val="17BD3EAD"/>
    <w:rsid w:val="18442D26"/>
    <w:rsid w:val="19466124"/>
    <w:rsid w:val="197B3CDD"/>
    <w:rsid w:val="19A2611B"/>
    <w:rsid w:val="1A4563DB"/>
    <w:rsid w:val="1A846F04"/>
    <w:rsid w:val="1AE658E0"/>
    <w:rsid w:val="1AF82B7C"/>
    <w:rsid w:val="1B5E1503"/>
    <w:rsid w:val="1BF71B7D"/>
    <w:rsid w:val="1C9C6787"/>
    <w:rsid w:val="1CD81789"/>
    <w:rsid w:val="1D487AF0"/>
    <w:rsid w:val="1D8A2A83"/>
    <w:rsid w:val="1E8A6AB3"/>
    <w:rsid w:val="1F43738D"/>
    <w:rsid w:val="1FD0285A"/>
    <w:rsid w:val="21521B0A"/>
    <w:rsid w:val="21B1411E"/>
    <w:rsid w:val="21BC3427"/>
    <w:rsid w:val="227242A0"/>
    <w:rsid w:val="227635D6"/>
    <w:rsid w:val="22E3447D"/>
    <w:rsid w:val="235C0A1E"/>
    <w:rsid w:val="24F034C5"/>
    <w:rsid w:val="250273A3"/>
    <w:rsid w:val="252E63EA"/>
    <w:rsid w:val="25476CD1"/>
    <w:rsid w:val="256E47E1"/>
    <w:rsid w:val="258C3110"/>
    <w:rsid w:val="262470B9"/>
    <w:rsid w:val="26E2369C"/>
    <w:rsid w:val="272A0E33"/>
    <w:rsid w:val="28F6721F"/>
    <w:rsid w:val="29157ACC"/>
    <w:rsid w:val="29475CCC"/>
    <w:rsid w:val="2A614B6C"/>
    <w:rsid w:val="2C6D5A4A"/>
    <w:rsid w:val="2D12039F"/>
    <w:rsid w:val="2DD65871"/>
    <w:rsid w:val="2E1D349F"/>
    <w:rsid w:val="2ED578D6"/>
    <w:rsid w:val="2FBC2844"/>
    <w:rsid w:val="303D3985"/>
    <w:rsid w:val="30EB33E1"/>
    <w:rsid w:val="31D01ECE"/>
    <w:rsid w:val="31DE2F46"/>
    <w:rsid w:val="31E542D4"/>
    <w:rsid w:val="328F5FEE"/>
    <w:rsid w:val="333472C1"/>
    <w:rsid w:val="33386686"/>
    <w:rsid w:val="33682989"/>
    <w:rsid w:val="341B222F"/>
    <w:rsid w:val="34605E94"/>
    <w:rsid w:val="34910108"/>
    <w:rsid w:val="34C74165"/>
    <w:rsid w:val="35C85443"/>
    <w:rsid w:val="369260AD"/>
    <w:rsid w:val="38EA0422"/>
    <w:rsid w:val="38F117B0"/>
    <w:rsid w:val="3ABB02C8"/>
    <w:rsid w:val="3AFA0DF0"/>
    <w:rsid w:val="3C123F18"/>
    <w:rsid w:val="3CBE5E4E"/>
    <w:rsid w:val="3CF33D49"/>
    <w:rsid w:val="3D6E33D0"/>
    <w:rsid w:val="3D7A0C69"/>
    <w:rsid w:val="3DC2371B"/>
    <w:rsid w:val="3E025405"/>
    <w:rsid w:val="3F3E3276"/>
    <w:rsid w:val="3F5605BF"/>
    <w:rsid w:val="40C1415E"/>
    <w:rsid w:val="40E35E83"/>
    <w:rsid w:val="42100EF9"/>
    <w:rsid w:val="429513FF"/>
    <w:rsid w:val="42A76A5F"/>
    <w:rsid w:val="43C81360"/>
    <w:rsid w:val="446E63AB"/>
    <w:rsid w:val="44906321"/>
    <w:rsid w:val="44B738AE"/>
    <w:rsid w:val="45BB5620"/>
    <w:rsid w:val="45E06E35"/>
    <w:rsid w:val="45E5230F"/>
    <w:rsid w:val="4613720A"/>
    <w:rsid w:val="46C531FB"/>
    <w:rsid w:val="46D83FB0"/>
    <w:rsid w:val="476C0334"/>
    <w:rsid w:val="485B1845"/>
    <w:rsid w:val="48DD58AD"/>
    <w:rsid w:val="48E24C72"/>
    <w:rsid w:val="4A9D3546"/>
    <w:rsid w:val="4AEC002A"/>
    <w:rsid w:val="4B3123DC"/>
    <w:rsid w:val="4BC845F3"/>
    <w:rsid w:val="4C4F6AC2"/>
    <w:rsid w:val="4D263484"/>
    <w:rsid w:val="4D3B2BA3"/>
    <w:rsid w:val="4D7C38E7"/>
    <w:rsid w:val="4E4D7031"/>
    <w:rsid w:val="4EC2357B"/>
    <w:rsid w:val="4EF82454"/>
    <w:rsid w:val="50414974"/>
    <w:rsid w:val="50BF6F00"/>
    <w:rsid w:val="523F3135"/>
    <w:rsid w:val="529E60AD"/>
    <w:rsid w:val="5386726D"/>
    <w:rsid w:val="53DA5A27"/>
    <w:rsid w:val="53EF4274"/>
    <w:rsid w:val="55106F91"/>
    <w:rsid w:val="5560589C"/>
    <w:rsid w:val="55805088"/>
    <w:rsid w:val="55F934FA"/>
    <w:rsid w:val="56156687"/>
    <w:rsid w:val="5641747C"/>
    <w:rsid w:val="56DA167E"/>
    <w:rsid w:val="57392849"/>
    <w:rsid w:val="57466925"/>
    <w:rsid w:val="577473DD"/>
    <w:rsid w:val="57B36157"/>
    <w:rsid w:val="57D2043C"/>
    <w:rsid w:val="58A261CC"/>
    <w:rsid w:val="59BC7E98"/>
    <w:rsid w:val="5A1F5D26"/>
    <w:rsid w:val="5AE66844"/>
    <w:rsid w:val="5B127639"/>
    <w:rsid w:val="5C491F27"/>
    <w:rsid w:val="5C734107"/>
    <w:rsid w:val="5C743A98"/>
    <w:rsid w:val="5C806824"/>
    <w:rsid w:val="5D8F4A9F"/>
    <w:rsid w:val="5DAA0911"/>
    <w:rsid w:val="5DDC3F2E"/>
    <w:rsid w:val="5E383AB9"/>
    <w:rsid w:val="5E8720EC"/>
    <w:rsid w:val="5EDB5F93"/>
    <w:rsid w:val="5F8B1990"/>
    <w:rsid w:val="610E0153"/>
    <w:rsid w:val="615648BD"/>
    <w:rsid w:val="61756145"/>
    <w:rsid w:val="61F061FA"/>
    <w:rsid w:val="62803942"/>
    <w:rsid w:val="62976675"/>
    <w:rsid w:val="63D3192F"/>
    <w:rsid w:val="63E61662"/>
    <w:rsid w:val="641C32D6"/>
    <w:rsid w:val="648275DD"/>
    <w:rsid w:val="64BE3ED7"/>
    <w:rsid w:val="64DD2268"/>
    <w:rsid w:val="65240694"/>
    <w:rsid w:val="675114E9"/>
    <w:rsid w:val="67BC2E06"/>
    <w:rsid w:val="68AB2E7A"/>
    <w:rsid w:val="691E364C"/>
    <w:rsid w:val="694F7CAA"/>
    <w:rsid w:val="69823BDB"/>
    <w:rsid w:val="699F29DF"/>
    <w:rsid w:val="69C76BDE"/>
    <w:rsid w:val="69DF102E"/>
    <w:rsid w:val="6A4B67D6"/>
    <w:rsid w:val="6AB04778"/>
    <w:rsid w:val="6ACA3A8C"/>
    <w:rsid w:val="6B033277"/>
    <w:rsid w:val="6B9648AE"/>
    <w:rsid w:val="6BA8544F"/>
    <w:rsid w:val="6BAA11C7"/>
    <w:rsid w:val="6BF76A62"/>
    <w:rsid w:val="6C126A03"/>
    <w:rsid w:val="6CAC0DB6"/>
    <w:rsid w:val="6D513FF0"/>
    <w:rsid w:val="6D801404"/>
    <w:rsid w:val="6DDB7D5E"/>
    <w:rsid w:val="6DE309C1"/>
    <w:rsid w:val="6E245261"/>
    <w:rsid w:val="6EC35844"/>
    <w:rsid w:val="6F244AB0"/>
    <w:rsid w:val="6F675D4D"/>
    <w:rsid w:val="6F8C79ED"/>
    <w:rsid w:val="71997FEE"/>
    <w:rsid w:val="731D6723"/>
    <w:rsid w:val="752244C4"/>
    <w:rsid w:val="75F00D87"/>
    <w:rsid w:val="76391AC6"/>
    <w:rsid w:val="77746F28"/>
    <w:rsid w:val="784B788E"/>
    <w:rsid w:val="78C95383"/>
    <w:rsid w:val="79490272"/>
    <w:rsid w:val="79EB757B"/>
    <w:rsid w:val="7A551D86"/>
    <w:rsid w:val="7A9D6AC7"/>
    <w:rsid w:val="7B4E6013"/>
    <w:rsid w:val="7B5F3D7C"/>
    <w:rsid w:val="7C094087"/>
    <w:rsid w:val="7C2E2D54"/>
    <w:rsid w:val="7C324FED"/>
    <w:rsid w:val="7C4810BD"/>
    <w:rsid w:val="7C9A0DE4"/>
    <w:rsid w:val="7D2012E9"/>
    <w:rsid w:val="7DB14637"/>
    <w:rsid w:val="7DB303AF"/>
    <w:rsid w:val="7DDA3B8E"/>
    <w:rsid w:val="7F777ED4"/>
    <w:rsid w:val="7F8C710A"/>
    <w:rsid w:val="7FDE689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basedOn w:val="1"/>
    <w:next w:val="1"/>
    <w:unhideWhenUsed/>
    <w:qFormat/>
    <w:uiPriority w:val="9"/>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rPr>
      <w:rFonts w:eastAsia="仿宋" w:cs="Calibri"/>
      <w:sz w:val="32"/>
      <w:szCs w:val="21"/>
    </w:rPr>
  </w:style>
  <w:style w:type="paragraph" w:styleId="4">
    <w:name w:val="annotation text"/>
    <w:basedOn w:val="1"/>
    <w:link w:val="23"/>
    <w:qFormat/>
    <w:uiPriority w:val="0"/>
    <w:pPr>
      <w:jc w:val="left"/>
    </w:pPr>
    <w:rPr>
      <w:rFonts w:ascii="Times New Roman" w:hAnsi="Times New Roman" w:eastAsia="仿宋_GB2312"/>
    </w:rPr>
  </w:style>
  <w:style w:type="paragraph" w:styleId="5">
    <w:name w:val="Body Text"/>
    <w:basedOn w:val="1"/>
    <w:next w:val="6"/>
    <w:qFormat/>
    <w:uiPriority w:val="0"/>
    <w:pPr>
      <w:spacing w:after="120"/>
    </w:pPr>
    <w:rPr>
      <w:rFonts w:ascii="Times New Roman" w:hAnsi="Times New Roman" w:eastAsia="仿宋_GB2312" w:cs="Times New Roman"/>
    </w:rPr>
  </w:style>
  <w:style w:type="paragraph" w:customStyle="1" w:styleId="6">
    <w:name w:val="正文部分 Char Char Char"/>
    <w:basedOn w:val="5"/>
    <w:next w:val="7"/>
    <w:qFormat/>
    <w:uiPriority w:val="0"/>
    <w:pPr>
      <w:adjustRightInd w:val="0"/>
      <w:snapToGrid w:val="0"/>
      <w:spacing w:line="460" w:lineRule="exact"/>
      <w:textAlignment w:val="baseline"/>
    </w:pPr>
    <w:rPr>
      <w:rFonts w:ascii="Times New Roman" w:hAnsi="Times New Roman" w:eastAsia="仿宋_GB2312" w:cs="Times New Roman"/>
      <w:sz w:val="24"/>
    </w:rPr>
  </w:style>
  <w:style w:type="paragraph" w:customStyle="1" w:styleId="7">
    <w:name w:val="章标题"/>
    <w:basedOn w:val="8"/>
    <w:qFormat/>
    <w:uiPriority w:val="0"/>
    <w:pPr>
      <w:spacing w:line="360" w:lineRule="auto"/>
    </w:pPr>
    <w:rPr>
      <w:rFonts w:ascii="Times New Roman" w:hAnsi="Times New Roman" w:eastAsia="仿宋_GB2312" w:cs="Times New Roman"/>
    </w:rPr>
  </w:style>
  <w:style w:type="paragraph" w:styleId="8">
    <w:name w:val="Title"/>
    <w:basedOn w:val="1"/>
    <w:next w:val="1"/>
    <w:qFormat/>
    <w:uiPriority w:val="0"/>
    <w:pPr>
      <w:spacing w:before="240" w:after="60"/>
      <w:jc w:val="center"/>
      <w:outlineLvl w:val="0"/>
    </w:pPr>
    <w:rPr>
      <w:rFonts w:ascii="Cambria" w:hAnsi="Cambria" w:eastAsia="仿宋_GB2312" w:cs="Times New Roman"/>
      <w:b/>
      <w:bCs/>
      <w:kern w:val="0"/>
      <w:sz w:val="32"/>
      <w:szCs w:val="32"/>
    </w:rPr>
  </w:style>
  <w:style w:type="paragraph" w:styleId="9">
    <w:name w:val="Body Text Indent"/>
    <w:basedOn w:val="1"/>
    <w:next w:val="3"/>
    <w:link w:val="24"/>
    <w:unhideWhenUsed/>
    <w:qFormat/>
    <w:uiPriority w:val="99"/>
    <w:pPr>
      <w:spacing w:after="120"/>
      <w:ind w:left="420" w:leftChars="200"/>
    </w:pPr>
  </w:style>
  <w:style w:type="paragraph" w:styleId="10">
    <w:name w:val="Body Text Indent 2"/>
    <w:basedOn w:val="5"/>
    <w:qFormat/>
    <w:uiPriority w:val="0"/>
    <w:pPr>
      <w:spacing w:line="480" w:lineRule="auto"/>
      <w:ind w:left="200" w:leftChars="200"/>
    </w:pPr>
  </w:style>
  <w:style w:type="paragraph" w:styleId="11">
    <w:name w:val="Balloon Text"/>
    <w:basedOn w:val="1"/>
    <w:link w:val="25"/>
    <w:unhideWhenUsed/>
    <w:qFormat/>
    <w:uiPriority w:val="99"/>
    <w:rPr>
      <w:sz w:val="18"/>
      <w:szCs w:val="18"/>
    </w:rPr>
  </w:style>
  <w:style w:type="paragraph" w:styleId="12">
    <w:name w:val="footer"/>
    <w:basedOn w:val="1"/>
    <w:link w:val="26"/>
    <w:unhideWhenUsed/>
    <w:qFormat/>
    <w:uiPriority w:val="99"/>
    <w:pPr>
      <w:tabs>
        <w:tab w:val="center" w:pos="4153"/>
        <w:tab w:val="right" w:pos="8306"/>
      </w:tabs>
      <w:snapToGrid w:val="0"/>
      <w:jc w:val="left"/>
    </w:pPr>
    <w:rPr>
      <w:kern w:val="0"/>
      <w:sz w:val="18"/>
      <w:szCs w:val="18"/>
    </w:rPr>
  </w:style>
  <w:style w:type="paragraph" w:styleId="13">
    <w:name w:val="header"/>
    <w:basedOn w:val="1"/>
    <w:link w:val="2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unhideWhenUsed/>
    <w:qFormat/>
    <w:uiPriority w:val="39"/>
  </w:style>
  <w:style w:type="paragraph" w:styleId="15">
    <w:name w:val="toc 2"/>
    <w:basedOn w:val="1"/>
    <w:next w:val="1"/>
    <w:unhideWhenUsed/>
    <w:qFormat/>
    <w:uiPriority w:val="39"/>
    <w:pPr>
      <w:ind w:left="420" w:leftChars="200"/>
    </w:pPr>
  </w:style>
  <w:style w:type="paragraph" w:styleId="16">
    <w:name w:val="Normal (Web)"/>
    <w:basedOn w:val="1"/>
    <w:qFormat/>
    <w:uiPriority w:val="99"/>
    <w:pPr>
      <w:widowControl/>
      <w:spacing w:before="100" w:beforeAutospacing="1" w:after="100" w:afterAutospacing="1"/>
      <w:jc w:val="left"/>
    </w:pPr>
    <w:rPr>
      <w:rFonts w:ascii="宋体" w:hAnsi="Times New Roman" w:eastAsia="宋体"/>
      <w:kern w:val="0"/>
      <w:sz w:val="24"/>
      <w:szCs w:val="24"/>
    </w:rPr>
  </w:style>
  <w:style w:type="paragraph" w:styleId="17">
    <w:name w:val="Body Text First Indent 2"/>
    <w:basedOn w:val="9"/>
    <w:next w:val="1"/>
    <w:link w:val="28"/>
    <w:qFormat/>
    <w:uiPriority w:val="99"/>
    <w:pPr>
      <w:ind w:left="200" w:firstLine="200" w:firstLineChars="200"/>
    </w:pPr>
    <w:rPr>
      <w:rFonts w:ascii="Calibri" w:hAnsi="Calibri" w:eastAsia="宋体"/>
      <w:szCs w:val="24"/>
    </w:rPr>
  </w:style>
  <w:style w:type="character" w:styleId="20">
    <w:name w:val="Strong"/>
    <w:qFormat/>
    <w:uiPriority w:val="0"/>
    <w:rPr>
      <w:rFonts w:ascii="Times New Roman" w:hAnsi="Times New Roman" w:eastAsia="仿宋_GB2312" w:cs="Times New Roman"/>
      <w:b/>
      <w:bCs/>
    </w:rPr>
  </w:style>
  <w:style w:type="character" w:styleId="21">
    <w:name w:val="Emphasis"/>
    <w:qFormat/>
    <w:uiPriority w:val="20"/>
    <w:rPr>
      <w:i/>
      <w:iCs/>
    </w:rPr>
  </w:style>
  <w:style w:type="character" w:styleId="22">
    <w:name w:val="Hyperlink"/>
    <w:qFormat/>
    <w:uiPriority w:val="99"/>
    <w:rPr>
      <w:color w:val="0000FF"/>
      <w:u w:val="single"/>
    </w:rPr>
  </w:style>
  <w:style w:type="character" w:customStyle="1" w:styleId="23">
    <w:name w:val="批注文字 Char"/>
    <w:link w:val="4"/>
    <w:qFormat/>
    <w:uiPriority w:val="0"/>
    <w:rPr>
      <w:rFonts w:ascii="Times New Roman" w:hAnsi="Times New Roman" w:eastAsia="仿宋_GB2312"/>
      <w:kern w:val="2"/>
      <w:sz w:val="21"/>
      <w:szCs w:val="22"/>
    </w:rPr>
  </w:style>
  <w:style w:type="character" w:customStyle="1" w:styleId="24">
    <w:name w:val="正文文本缩进 Char"/>
    <w:link w:val="9"/>
    <w:semiHidden/>
    <w:qFormat/>
    <w:uiPriority w:val="99"/>
    <w:rPr>
      <w:kern w:val="2"/>
      <w:sz w:val="21"/>
      <w:szCs w:val="22"/>
    </w:rPr>
  </w:style>
  <w:style w:type="character" w:customStyle="1" w:styleId="25">
    <w:name w:val="批注框文本 Char"/>
    <w:link w:val="11"/>
    <w:semiHidden/>
    <w:qFormat/>
    <w:uiPriority w:val="99"/>
    <w:rPr>
      <w:kern w:val="2"/>
      <w:sz w:val="18"/>
      <w:szCs w:val="18"/>
    </w:rPr>
  </w:style>
  <w:style w:type="character" w:customStyle="1" w:styleId="26">
    <w:name w:val="页脚 Char"/>
    <w:link w:val="12"/>
    <w:qFormat/>
    <w:uiPriority w:val="99"/>
    <w:rPr>
      <w:sz w:val="18"/>
      <w:szCs w:val="18"/>
    </w:rPr>
  </w:style>
  <w:style w:type="character" w:customStyle="1" w:styleId="27">
    <w:name w:val="页眉 Char"/>
    <w:link w:val="13"/>
    <w:qFormat/>
    <w:uiPriority w:val="99"/>
    <w:rPr>
      <w:sz w:val="18"/>
      <w:szCs w:val="18"/>
    </w:rPr>
  </w:style>
  <w:style w:type="character" w:customStyle="1" w:styleId="28">
    <w:name w:val="正文首行缩进 2 Char1"/>
    <w:link w:val="17"/>
    <w:qFormat/>
    <w:uiPriority w:val="99"/>
    <w:rPr>
      <w:rFonts w:ascii="Calibri" w:hAnsi="Calibri" w:eastAsia="宋体"/>
      <w:kern w:val="2"/>
      <w:sz w:val="21"/>
      <w:szCs w:val="24"/>
    </w:rPr>
  </w:style>
  <w:style w:type="paragraph" w:styleId="29">
    <w:name w:val="List Paragraph"/>
    <w:basedOn w:val="1"/>
    <w:qFormat/>
    <w:uiPriority w:val="34"/>
    <w:pPr>
      <w:ind w:firstLine="420" w:firstLineChars="200"/>
    </w:pPr>
  </w:style>
  <w:style w:type="character" w:customStyle="1" w:styleId="30">
    <w:name w:val="正文首行缩进 2 Char"/>
    <w:qFormat/>
    <w:uiPriority w:val="99"/>
    <w:rPr>
      <w:rFonts w:ascii="Calibri" w:hAnsi="Calibri" w:eastAsia="宋体"/>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109</Pages>
  <Words>8472</Words>
  <Characters>8802</Characters>
  <Lines>436</Lines>
  <Paragraphs>122</Paragraphs>
  <TotalTime>13</TotalTime>
  <ScaleCrop>false</ScaleCrop>
  <LinksUpToDate>false</LinksUpToDate>
  <CharactersWithSpaces>9070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2026-01-23T08:13:00Z</dcterms:created>
  <dc:creator>Administrator</dc:creator>
  <cp:lastModifiedBy>粉红の羽毛</cp:lastModifiedBy>
  <cp:lastPrinted>2026-01-24T00:37:00Z</cp:lastPrinted>
  <dcterms:modified xsi:type="dcterms:W3CDTF">2026-10-23T07:38:49Z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eyJoZGlkIjoiNDM0MmZhYTY4YmRkMTY4MDg2MjNjMDZmZTQxMTFkYjUiLCJ1c2VySWQiOiIxMzkyMjgxMTIxIn0=</vt:lpwstr>
  </property>
  <property fmtid="{D5CDD505-2E9C-101B-9397-08002B2CF9AE}" pid="4" name="ICV">
    <vt:lpwstr>325C00A6BA3448229A2ACFCD09CE239E_13</vt:lpwstr>
  </property>
</Properties>
</file>